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08A" w:rsidRPr="00C2131F" w:rsidRDefault="0008008A" w:rsidP="0008008A">
      <w:pPr>
        <w:ind w:left="1843" w:right="1983"/>
        <w:jc w:val="both"/>
        <w:rPr>
          <w:rFonts w:ascii="Tahoma" w:hAnsi="Tahoma" w:cs="Tahoma"/>
          <w:i/>
          <w:sz w:val="23"/>
          <w:szCs w:val="23"/>
        </w:rPr>
      </w:pPr>
      <w:r w:rsidRPr="00C2131F">
        <w:rPr>
          <w:rFonts w:ascii="Tahoma" w:hAnsi="Tahoma" w:cs="Tahoma"/>
          <w:b/>
          <w:i/>
          <w:sz w:val="23"/>
          <w:szCs w:val="23"/>
        </w:rPr>
        <w:t>Sumilla   :</w:t>
      </w:r>
      <w:r w:rsidRPr="00C2131F">
        <w:rPr>
          <w:rFonts w:ascii="Tahoma" w:hAnsi="Tahoma" w:cs="Tahoma"/>
          <w:i/>
          <w:sz w:val="23"/>
          <w:szCs w:val="23"/>
        </w:rPr>
        <w:t xml:space="preserve"> </w:t>
      </w:r>
      <w:r w:rsidRPr="00C2131F">
        <w:rPr>
          <w:rFonts w:ascii="Tahoma" w:hAnsi="Tahoma" w:cs="Tahoma"/>
          <w:i/>
          <w:sz w:val="23"/>
          <w:szCs w:val="23"/>
        </w:rPr>
        <w:tab/>
        <w:t>“Por los fundamentos antes expuestos, corresponde declarar no ha lugar la imposición de sanción a la Denunciada”</w:t>
      </w:r>
    </w:p>
    <w:p w:rsidR="0008008A" w:rsidRPr="00C2131F" w:rsidRDefault="0008008A" w:rsidP="0008008A">
      <w:pPr>
        <w:pStyle w:val="Textoindependiente3"/>
        <w:spacing w:after="0"/>
        <w:ind w:left="5387"/>
        <w:jc w:val="both"/>
        <w:rPr>
          <w:rFonts w:ascii="Tahoma" w:hAnsi="Tahoma" w:cs="Tahoma"/>
          <w:b/>
          <w:sz w:val="23"/>
          <w:szCs w:val="23"/>
        </w:rPr>
      </w:pPr>
    </w:p>
    <w:p w:rsidR="0008008A" w:rsidRPr="00C2131F" w:rsidRDefault="007D7BD4" w:rsidP="007D7BD4">
      <w:pPr>
        <w:pStyle w:val="Textoindependiente3"/>
        <w:spacing w:after="0"/>
        <w:ind w:left="4248" w:firstLine="708"/>
        <w:jc w:val="both"/>
        <w:rPr>
          <w:rFonts w:ascii="Tahoma" w:hAnsi="Tahoma" w:cs="Tahoma"/>
          <w:b/>
          <w:sz w:val="23"/>
          <w:szCs w:val="23"/>
        </w:rPr>
      </w:pPr>
      <w:r>
        <w:rPr>
          <w:rFonts w:ascii="Tahoma" w:hAnsi="Tahoma" w:cs="Tahoma"/>
          <w:b/>
          <w:sz w:val="23"/>
          <w:szCs w:val="23"/>
        </w:rPr>
        <w:t xml:space="preserve">     </w:t>
      </w:r>
      <w:r w:rsidR="0008008A" w:rsidRPr="00C2131F">
        <w:rPr>
          <w:rFonts w:ascii="Tahoma" w:hAnsi="Tahoma" w:cs="Tahoma"/>
          <w:b/>
          <w:sz w:val="23"/>
          <w:szCs w:val="23"/>
        </w:rPr>
        <w:t>Lima,</w:t>
      </w:r>
      <w:r>
        <w:rPr>
          <w:rFonts w:ascii="Tahoma" w:hAnsi="Tahoma" w:cs="Tahoma"/>
          <w:b/>
          <w:sz w:val="23"/>
          <w:szCs w:val="23"/>
        </w:rPr>
        <w:t xml:space="preserve"> 02 de Agosto de 2011</w:t>
      </w:r>
    </w:p>
    <w:p w:rsidR="0008008A" w:rsidRPr="0008008A" w:rsidRDefault="0008008A" w:rsidP="0008008A">
      <w:pPr>
        <w:pStyle w:val="Textoindependiente3"/>
        <w:spacing w:after="0"/>
        <w:ind w:left="5387"/>
        <w:jc w:val="both"/>
        <w:rPr>
          <w:rFonts w:ascii="Tahoma" w:hAnsi="Tahoma" w:cs="Tahoma"/>
          <w:b/>
          <w:sz w:val="22"/>
          <w:szCs w:val="22"/>
        </w:rPr>
      </w:pPr>
    </w:p>
    <w:p w:rsidR="0008008A" w:rsidRPr="0008008A" w:rsidRDefault="0008008A" w:rsidP="0008008A">
      <w:pPr>
        <w:ind w:firstLine="567"/>
        <w:contextualSpacing/>
        <w:jc w:val="both"/>
        <w:rPr>
          <w:rFonts w:ascii="Tahoma" w:hAnsi="Tahoma" w:cs="Tahoma"/>
          <w:sz w:val="22"/>
          <w:szCs w:val="22"/>
        </w:rPr>
      </w:pPr>
      <w:r w:rsidRPr="0008008A">
        <w:rPr>
          <w:rFonts w:ascii="Tahoma" w:hAnsi="Tahoma" w:cs="Tahoma"/>
          <w:b/>
          <w:sz w:val="22"/>
          <w:szCs w:val="22"/>
        </w:rPr>
        <w:t xml:space="preserve">Visto </w:t>
      </w:r>
      <w:r w:rsidRPr="0008008A">
        <w:rPr>
          <w:rFonts w:ascii="Tahoma" w:hAnsi="Tahoma" w:cs="Tahoma"/>
          <w:sz w:val="22"/>
          <w:szCs w:val="22"/>
        </w:rPr>
        <w:t>en sesión de fecha 19 de julio de 2011 la Primera Sala del Tribunal de Contrataciones del Estado el Expediente N° 1106.2010-TC; sobre el procedimiento administrativo sancionador iniciado contra AQUIJE TABOADA CHIRLY AIDA, por su supuesta responsabilidad al no mantener su oferta hasta la suscripción del contrato, durante la Adjudicación de Menor Cuantía por Subasta Inversa Electrónica Nº 0032-2010 MDCH/CE (PRIMERA CONVOCATORIA).</w:t>
      </w:r>
    </w:p>
    <w:p w:rsidR="0008008A" w:rsidRPr="0008008A" w:rsidRDefault="0008008A" w:rsidP="0008008A">
      <w:pPr>
        <w:ind w:firstLine="567"/>
        <w:contextualSpacing/>
        <w:jc w:val="both"/>
        <w:rPr>
          <w:rFonts w:ascii="Tahoma" w:hAnsi="Tahoma" w:cs="Tahoma"/>
          <w:b/>
          <w:sz w:val="22"/>
          <w:szCs w:val="22"/>
          <w:lang w:val="es-ES_tradnl"/>
        </w:rPr>
      </w:pPr>
    </w:p>
    <w:p w:rsidR="0008008A" w:rsidRPr="0008008A" w:rsidRDefault="0008008A" w:rsidP="0008008A">
      <w:pPr>
        <w:pStyle w:val="Prrafodelista"/>
        <w:ind w:left="567"/>
        <w:rPr>
          <w:rFonts w:ascii="Tahoma" w:hAnsi="Tahoma" w:cs="Tahoma"/>
          <w:b/>
          <w:sz w:val="22"/>
          <w:szCs w:val="22"/>
        </w:rPr>
      </w:pPr>
      <w:r w:rsidRPr="0008008A">
        <w:rPr>
          <w:rFonts w:ascii="Tahoma" w:hAnsi="Tahoma" w:cs="Tahoma"/>
          <w:b/>
          <w:sz w:val="22"/>
          <w:szCs w:val="22"/>
        </w:rPr>
        <w:t>ANTECEDENTES:</w:t>
      </w:r>
    </w:p>
    <w:p w:rsidR="0008008A" w:rsidRPr="0008008A" w:rsidRDefault="0008008A" w:rsidP="0008008A">
      <w:pPr>
        <w:jc w:val="both"/>
        <w:rPr>
          <w:rFonts w:ascii="Tahoma" w:hAnsi="Tahoma" w:cs="Tahoma"/>
          <w:b/>
          <w:sz w:val="22"/>
          <w:szCs w:val="22"/>
          <w:lang w:eastAsia="es-PE"/>
        </w:rPr>
      </w:pPr>
    </w:p>
    <w:p w:rsidR="0008008A" w:rsidRPr="0008008A" w:rsidRDefault="0008008A" w:rsidP="0008008A">
      <w:pPr>
        <w:numPr>
          <w:ilvl w:val="0"/>
          <w:numId w:val="9"/>
        </w:numPr>
        <w:jc w:val="both"/>
        <w:rPr>
          <w:rFonts w:ascii="Tahoma" w:hAnsi="Tahoma" w:cs="Tahoma"/>
          <w:sz w:val="22"/>
          <w:szCs w:val="22"/>
        </w:rPr>
      </w:pPr>
      <w:r w:rsidRPr="0008008A">
        <w:rPr>
          <w:rFonts w:ascii="Tahoma" w:hAnsi="Tahoma" w:cs="Tahoma"/>
          <w:sz w:val="22"/>
          <w:szCs w:val="22"/>
        </w:rPr>
        <w:t>El 07 de junio de 2010, la MUNICIPALIDAD DE CHANCAY, en adelante la Entidad, convocó a la Adjudicación de Menor Cuantía por Subasta Inversa Electrónica Nº 0032-2010 MDCH/CE (PRIMERA CONVOCATORIA), para la “Adquisición de cemento Portland tipo I para las diversas obras ejecutadas en el Distrito de Chancay”, por el monto total ascendente a S/. 185,500.00 (Ciento ochenta y cinco mil quinientos con 00/100 Nuevos Soles).</w:t>
      </w:r>
    </w:p>
    <w:p w:rsidR="0008008A" w:rsidRPr="0008008A" w:rsidRDefault="0008008A" w:rsidP="0008008A">
      <w:pPr>
        <w:ind w:left="567"/>
        <w:jc w:val="both"/>
        <w:rPr>
          <w:rFonts w:ascii="Tahoma" w:hAnsi="Tahoma" w:cs="Tahoma"/>
          <w:sz w:val="22"/>
          <w:szCs w:val="22"/>
        </w:rPr>
      </w:pPr>
    </w:p>
    <w:p w:rsidR="0008008A" w:rsidRPr="0008008A" w:rsidRDefault="0008008A" w:rsidP="0008008A">
      <w:pPr>
        <w:numPr>
          <w:ilvl w:val="0"/>
          <w:numId w:val="9"/>
        </w:numPr>
        <w:jc w:val="both"/>
        <w:rPr>
          <w:rFonts w:ascii="Tahoma" w:hAnsi="Tahoma" w:cs="Tahoma"/>
          <w:sz w:val="22"/>
          <w:szCs w:val="22"/>
        </w:rPr>
      </w:pPr>
      <w:r w:rsidRPr="0008008A">
        <w:rPr>
          <w:rFonts w:ascii="Tahoma" w:hAnsi="Tahoma" w:cs="Tahoma"/>
          <w:sz w:val="22"/>
          <w:szCs w:val="22"/>
        </w:rPr>
        <w:t xml:space="preserve">Con fecha 10 de junio del 2010, se llevó </w:t>
      </w:r>
      <w:r w:rsidRPr="0008008A">
        <w:rPr>
          <w:rFonts w:ascii="Tahoma" w:hAnsi="Tahoma" w:cs="Tahoma"/>
          <w:bCs/>
          <w:sz w:val="22"/>
          <w:szCs w:val="22"/>
          <w:lang w:val="es-ES_tradnl"/>
        </w:rPr>
        <w:t>a cabo el acto de apertura de propuestas, periodo de lances y otorgamiento de la Buena Pro, obteniéndose el siguiente resultado y orden de prelación:</w:t>
      </w:r>
    </w:p>
    <w:p w:rsidR="0008008A" w:rsidRDefault="0008008A" w:rsidP="0008008A">
      <w:pPr>
        <w:pStyle w:val="Prrafodelista"/>
        <w:rPr>
          <w:rFonts w:ascii="Tahoma" w:hAnsi="Tahoma" w:cs="Tahoma"/>
          <w:bCs/>
          <w:sz w:val="22"/>
          <w:szCs w:val="22"/>
        </w:rPr>
      </w:pPr>
    </w:p>
    <w:tbl>
      <w:tblPr>
        <w:tblStyle w:val="Tablaconcuadrcula"/>
        <w:tblW w:w="8046" w:type="dxa"/>
        <w:tblInd w:w="675" w:type="dxa"/>
        <w:tblLook w:val="04A0"/>
      </w:tblPr>
      <w:tblGrid>
        <w:gridCol w:w="1526"/>
        <w:gridCol w:w="3969"/>
        <w:gridCol w:w="2551"/>
      </w:tblGrid>
      <w:tr w:rsidR="0008008A" w:rsidTr="005805FD">
        <w:tc>
          <w:tcPr>
            <w:tcW w:w="1526" w:type="dxa"/>
          </w:tcPr>
          <w:p w:rsidR="0008008A" w:rsidRPr="00901F0D" w:rsidRDefault="0008008A" w:rsidP="005805FD">
            <w:pPr>
              <w:jc w:val="center"/>
              <w:rPr>
                <w:rFonts w:ascii="Tahoma" w:hAnsi="Tahoma" w:cs="Tahoma"/>
                <w:b/>
                <w:sz w:val="16"/>
                <w:szCs w:val="16"/>
              </w:rPr>
            </w:pPr>
            <w:r w:rsidRPr="00901F0D">
              <w:rPr>
                <w:rFonts w:ascii="Tahoma" w:hAnsi="Tahoma" w:cs="Tahoma"/>
                <w:b/>
                <w:sz w:val="16"/>
                <w:szCs w:val="16"/>
              </w:rPr>
              <w:t>Nro de Orden de Prelación</w:t>
            </w:r>
          </w:p>
        </w:tc>
        <w:tc>
          <w:tcPr>
            <w:tcW w:w="3969" w:type="dxa"/>
          </w:tcPr>
          <w:p w:rsidR="0008008A" w:rsidRPr="00901F0D" w:rsidRDefault="0008008A" w:rsidP="005805FD">
            <w:pPr>
              <w:jc w:val="center"/>
              <w:rPr>
                <w:rFonts w:ascii="Tahoma" w:hAnsi="Tahoma" w:cs="Tahoma"/>
                <w:b/>
                <w:sz w:val="16"/>
                <w:szCs w:val="16"/>
              </w:rPr>
            </w:pPr>
            <w:r w:rsidRPr="00901F0D">
              <w:rPr>
                <w:rFonts w:ascii="Tahoma" w:hAnsi="Tahoma" w:cs="Tahoma"/>
                <w:b/>
                <w:sz w:val="16"/>
                <w:szCs w:val="16"/>
              </w:rPr>
              <w:t>Nombre del Postor</w:t>
            </w:r>
          </w:p>
        </w:tc>
        <w:tc>
          <w:tcPr>
            <w:tcW w:w="2551" w:type="dxa"/>
          </w:tcPr>
          <w:p w:rsidR="0008008A" w:rsidRPr="00901F0D" w:rsidRDefault="0008008A" w:rsidP="005805FD">
            <w:pPr>
              <w:jc w:val="center"/>
              <w:rPr>
                <w:rFonts w:ascii="Tahoma" w:hAnsi="Tahoma" w:cs="Tahoma"/>
                <w:b/>
                <w:sz w:val="16"/>
                <w:szCs w:val="16"/>
              </w:rPr>
            </w:pPr>
            <w:r w:rsidRPr="00901F0D">
              <w:rPr>
                <w:rFonts w:ascii="Tahoma" w:hAnsi="Tahoma" w:cs="Tahoma"/>
                <w:b/>
                <w:sz w:val="16"/>
                <w:szCs w:val="16"/>
              </w:rPr>
              <w:t>Última Oferta</w:t>
            </w:r>
          </w:p>
        </w:tc>
      </w:tr>
      <w:tr w:rsidR="0008008A" w:rsidTr="005805FD">
        <w:tc>
          <w:tcPr>
            <w:tcW w:w="1526" w:type="dxa"/>
          </w:tcPr>
          <w:p w:rsidR="0008008A" w:rsidRPr="00901F0D" w:rsidRDefault="0008008A" w:rsidP="005805FD">
            <w:pPr>
              <w:jc w:val="center"/>
              <w:rPr>
                <w:rFonts w:ascii="Tahoma" w:hAnsi="Tahoma" w:cs="Tahoma"/>
                <w:sz w:val="16"/>
                <w:szCs w:val="16"/>
              </w:rPr>
            </w:pPr>
            <w:r w:rsidRPr="00901F0D">
              <w:rPr>
                <w:rFonts w:ascii="Tahoma" w:hAnsi="Tahoma" w:cs="Tahoma"/>
                <w:sz w:val="16"/>
                <w:szCs w:val="16"/>
              </w:rPr>
              <w:t>1</w:t>
            </w:r>
          </w:p>
        </w:tc>
        <w:tc>
          <w:tcPr>
            <w:tcW w:w="3969"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AQUIJE TABOADA CHIRLY AIDA</w:t>
            </w:r>
          </w:p>
        </w:tc>
        <w:tc>
          <w:tcPr>
            <w:tcW w:w="2551"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140,000.00</w:t>
            </w:r>
          </w:p>
        </w:tc>
      </w:tr>
      <w:tr w:rsidR="0008008A" w:rsidTr="005805FD">
        <w:tc>
          <w:tcPr>
            <w:tcW w:w="1526" w:type="dxa"/>
          </w:tcPr>
          <w:p w:rsidR="0008008A" w:rsidRPr="00901F0D" w:rsidRDefault="0008008A" w:rsidP="005805FD">
            <w:pPr>
              <w:jc w:val="center"/>
              <w:rPr>
                <w:rFonts w:ascii="Tahoma" w:hAnsi="Tahoma" w:cs="Tahoma"/>
                <w:sz w:val="16"/>
                <w:szCs w:val="16"/>
              </w:rPr>
            </w:pPr>
            <w:r w:rsidRPr="00901F0D">
              <w:rPr>
                <w:rFonts w:ascii="Tahoma" w:hAnsi="Tahoma" w:cs="Tahoma"/>
                <w:sz w:val="16"/>
                <w:szCs w:val="16"/>
              </w:rPr>
              <w:t>2</w:t>
            </w:r>
          </w:p>
        </w:tc>
        <w:tc>
          <w:tcPr>
            <w:tcW w:w="3969"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DISTRIBUIDORA VICKY EVA SOCIEDAD ANONIMA CERRADA</w:t>
            </w:r>
          </w:p>
        </w:tc>
        <w:tc>
          <w:tcPr>
            <w:tcW w:w="2551"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179,140.00</w:t>
            </w:r>
          </w:p>
        </w:tc>
      </w:tr>
      <w:tr w:rsidR="0008008A" w:rsidTr="005805FD">
        <w:tc>
          <w:tcPr>
            <w:tcW w:w="1526" w:type="dxa"/>
          </w:tcPr>
          <w:p w:rsidR="0008008A" w:rsidRPr="00901F0D" w:rsidRDefault="0008008A" w:rsidP="005805FD">
            <w:pPr>
              <w:jc w:val="center"/>
              <w:rPr>
                <w:rFonts w:ascii="Tahoma" w:hAnsi="Tahoma" w:cs="Tahoma"/>
                <w:sz w:val="16"/>
                <w:szCs w:val="16"/>
              </w:rPr>
            </w:pPr>
            <w:r w:rsidRPr="00901F0D">
              <w:rPr>
                <w:rFonts w:ascii="Tahoma" w:hAnsi="Tahoma" w:cs="Tahoma"/>
                <w:sz w:val="16"/>
                <w:szCs w:val="16"/>
              </w:rPr>
              <w:t>3</w:t>
            </w:r>
          </w:p>
        </w:tc>
        <w:tc>
          <w:tcPr>
            <w:tcW w:w="3969"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DISTRIBUIDORA DE MATERIALES DE CONSTRUCCION Y FERRETERIA SANDY SOCIEDAD ANONIMA CERRADA</w:t>
            </w:r>
          </w:p>
        </w:tc>
        <w:tc>
          <w:tcPr>
            <w:tcW w:w="2551"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181,250.00</w:t>
            </w:r>
          </w:p>
        </w:tc>
      </w:tr>
      <w:tr w:rsidR="0008008A" w:rsidTr="005805FD">
        <w:tc>
          <w:tcPr>
            <w:tcW w:w="1526" w:type="dxa"/>
          </w:tcPr>
          <w:p w:rsidR="0008008A" w:rsidRPr="00901F0D" w:rsidRDefault="0008008A" w:rsidP="005805FD">
            <w:pPr>
              <w:jc w:val="center"/>
              <w:rPr>
                <w:rFonts w:ascii="Tahoma" w:hAnsi="Tahoma" w:cs="Tahoma"/>
                <w:sz w:val="16"/>
                <w:szCs w:val="16"/>
              </w:rPr>
            </w:pPr>
            <w:r w:rsidRPr="00901F0D">
              <w:rPr>
                <w:rFonts w:ascii="Tahoma" w:hAnsi="Tahoma" w:cs="Tahoma"/>
                <w:sz w:val="16"/>
                <w:szCs w:val="16"/>
              </w:rPr>
              <w:t>4</w:t>
            </w:r>
          </w:p>
        </w:tc>
        <w:tc>
          <w:tcPr>
            <w:tcW w:w="3969"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COMERCIAL Y DISTRIBUIDORA CENTENARIO S.A.C</w:t>
            </w:r>
          </w:p>
        </w:tc>
        <w:tc>
          <w:tcPr>
            <w:tcW w:w="2551"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181,260.00</w:t>
            </w:r>
          </w:p>
        </w:tc>
      </w:tr>
      <w:tr w:rsidR="0008008A" w:rsidTr="005805FD">
        <w:tc>
          <w:tcPr>
            <w:tcW w:w="1526" w:type="dxa"/>
          </w:tcPr>
          <w:p w:rsidR="0008008A" w:rsidRPr="00901F0D" w:rsidRDefault="0008008A" w:rsidP="005805FD">
            <w:pPr>
              <w:jc w:val="center"/>
              <w:rPr>
                <w:rFonts w:ascii="Tahoma" w:hAnsi="Tahoma" w:cs="Tahoma"/>
                <w:sz w:val="16"/>
                <w:szCs w:val="16"/>
              </w:rPr>
            </w:pPr>
            <w:r w:rsidRPr="00901F0D">
              <w:rPr>
                <w:rFonts w:ascii="Tahoma" w:hAnsi="Tahoma" w:cs="Tahoma"/>
                <w:sz w:val="16"/>
                <w:szCs w:val="16"/>
              </w:rPr>
              <w:t>5</w:t>
            </w:r>
          </w:p>
        </w:tc>
        <w:tc>
          <w:tcPr>
            <w:tcW w:w="3969"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VILLARREAL CAPILLO MONICA YANET</w:t>
            </w:r>
          </w:p>
        </w:tc>
        <w:tc>
          <w:tcPr>
            <w:tcW w:w="2551" w:type="dxa"/>
          </w:tcPr>
          <w:p w:rsidR="0008008A" w:rsidRPr="00901F0D" w:rsidRDefault="0008008A" w:rsidP="005805FD">
            <w:pPr>
              <w:jc w:val="both"/>
              <w:rPr>
                <w:rFonts w:ascii="Tahoma" w:hAnsi="Tahoma" w:cs="Tahoma"/>
                <w:sz w:val="16"/>
                <w:szCs w:val="16"/>
              </w:rPr>
            </w:pPr>
            <w:r w:rsidRPr="00901F0D">
              <w:rPr>
                <w:rFonts w:ascii="Tahoma" w:hAnsi="Tahoma" w:cs="Tahoma"/>
                <w:sz w:val="16"/>
                <w:szCs w:val="16"/>
              </w:rPr>
              <w:t>185,314.50</w:t>
            </w:r>
          </w:p>
        </w:tc>
      </w:tr>
    </w:tbl>
    <w:p w:rsidR="0008008A" w:rsidRPr="00722B62" w:rsidRDefault="0008008A" w:rsidP="0008008A">
      <w:pPr>
        <w:ind w:left="567"/>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El fecha 23 de junio de 2010, la Entidad envió un correo electrónico a AQUIJE TABOADA CHIRLY AIDA, en adelante la Denunciada, remitiéndole la carta de Buena Pro del proceso de selección y otorgándole un plazo de 10 días para suscribir el contrato.</w:t>
      </w:r>
    </w:p>
    <w:p w:rsidR="0008008A" w:rsidRPr="0008008A" w:rsidRDefault="0008008A" w:rsidP="0008008A">
      <w:pPr>
        <w:pStyle w:val="Prrafodelista"/>
        <w:widowControl/>
        <w:suppressAutoHyphens w:val="0"/>
        <w:ind w:left="567"/>
        <w:contextualSpacing/>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A través de la Carta de fecha 05 de julio del 2010, la Denunciada comunicó a la Entidad que cometió un error al momento de digitar su lance electrónico, solicitando el desistimiento de la Buena Pro.</w:t>
      </w:r>
    </w:p>
    <w:p w:rsidR="0008008A" w:rsidRPr="0008008A" w:rsidRDefault="0008008A" w:rsidP="0008008A">
      <w:pPr>
        <w:pStyle w:val="Prrafodelista"/>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lastRenderedPageBreak/>
        <w:t>Con Carta Nº 098-2010 MDCH/UL de fecha 12 de julio del 2010, la Entidad comunicó a la Denunciada la perdida de la Buena Pro al no haber suscrito el contrato dentro del plazo previsto, a pesar de haber sido requerido para dicho fin.</w:t>
      </w:r>
    </w:p>
    <w:p w:rsidR="0008008A" w:rsidRPr="0008008A" w:rsidRDefault="0008008A" w:rsidP="0008008A">
      <w:pPr>
        <w:pStyle w:val="Prrafodelista"/>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Mediante escrito presentado el 19 de agosto del 2010, la Entidad puso en conocimiento de este Tribunal de Contrataciones del Estado, en adelante el Tribunal, los hechos antes expuestos.</w:t>
      </w:r>
    </w:p>
    <w:p w:rsidR="0008008A" w:rsidRPr="0008008A" w:rsidRDefault="0008008A" w:rsidP="0008008A">
      <w:pPr>
        <w:pStyle w:val="Prrafodelista"/>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En atención al mencionado escrito, mediante decreto de fecha 24 de agosto del 2010, la Secretaría del Tribunal solicitó a la Entidad que en el plazo de diez (10) días hábiles remita un Informe Técnico Legal sobre la procedencia y presunta responsabilidad de la Denunciada y, además, la carta debidamente recibida y/o diligenciada, a través de la cual se citó a la Denunciada para la suscripción del contrato.</w:t>
      </w:r>
    </w:p>
    <w:p w:rsidR="0008008A" w:rsidRPr="0008008A" w:rsidRDefault="0008008A" w:rsidP="0008008A">
      <w:pPr>
        <w:pStyle w:val="Prrafodelista"/>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A través del escrito del Oficio Nº 015-2011 MDCH/A de fecha 24 de enero del 2011, la Entidad remitió la misma documentación presentada en su primera comunicación.</w:t>
      </w:r>
    </w:p>
    <w:p w:rsidR="0008008A" w:rsidRPr="0008008A" w:rsidRDefault="0008008A" w:rsidP="0008008A">
      <w:pPr>
        <w:pStyle w:val="Prrafodelista"/>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lang w:val="es-ES"/>
        </w:rPr>
        <w:t xml:space="preserve">Teniendo en consideración ello, con </w:t>
      </w:r>
      <w:r w:rsidRPr="0008008A">
        <w:rPr>
          <w:rFonts w:ascii="Tahoma" w:hAnsi="Tahoma" w:cs="Tahoma"/>
          <w:sz w:val="22"/>
          <w:szCs w:val="22"/>
        </w:rPr>
        <w:t>decreto de fecha 31 de enero del 2011, se le requirió a la Entidad que cumpla con remitir Informe Técnico Legal sobre la procedencia y presunta responsabilidad de la Denunciada y, además, la carta debidamente recibida y/o diligenciada, a través de la cual se citó a la Denunciada para la suscripción del contrato, bajo apercibimiento de resolver con la documentación obrante en autos.</w:t>
      </w:r>
    </w:p>
    <w:p w:rsidR="0008008A" w:rsidRPr="0008008A" w:rsidRDefault="0008008A" w:rsidP="0008008A">
      <w:pPr>
        <w:pStyle w:val="Prrafodelista"/>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A través del Oficio Nº 056-2011 MDCH/A presentado el 16 de febrero del 2011, la Entidad remitió la misma documentación que ya había presentado anteriormente, sin cumplir con presentar lo requerido mediante decretos de fecha 24 de agosto del 2010 y 31 de enero del 2011.</w:t>
      </w:r>
    </w:p>
    <w:p w:rsidR="0008008A" w:rsidRPr="0008008A" w:rsidRDefault="0008008A" w:rsidP="0008008A">
      <w:pPr>
        <w:pStyle w:val="Prrafodelista"/>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Mediante decreto de fecha 22 de enero de 2011, teniendo en consideración que la Entidad no cumplió con remitir la documentación e información solicitada, se hizo efectivo el apercibimiento de resolver con la documentación en autos y se remitió el expediente a la Primera Sala del Tribunal, a fin que evalúe la procedencia del inicio del procedimiento administrativo sancionador contra la Denunciada.</w:t>
      </w:r>
    </w:p>
    <w:p w:rsidR="0008008A" w:rsidRPr="0008008A" w:rsidRDefault="0008008A" w:rsidP="0008008A">
      <w:pPr>
        <w:pStyle w:val="Prrafodelista"/>
        <w:widowControl/>
        <w:suppressAutoHyphens w:val="0"/>
        <w:ind w:left="567"/>
        <w:contextualSpacing/>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A través del decreto de fecha 08 de marzo del 2011, se solicitó información adicional a la Entidad, bajo el siguiente detalle:</w:t>
      </w:r>
    </w:p>
    <w:p w:rsidR="0008008A" w:rsidRDefault="0008008A" w:rsidP="0008008A">
      <w:pPr>
        <w:contextualSpacing/>
        <w:jc w:val="both"/>
        <w:rPr>
          <w:rFonts w:ascii="Tahoma" w:hAnsi="Tahoma" w:cs="Tahoma"/>
          <w:sz w:val="22"/>
          <w:szCs w:val="22"/>
        </w:rPr>
      </w:pPr>
    </w:p>
    <w:p w:rsidR="0008008A" w:rsidRPr="00016D9B" w:rsidRDefault="0008008A" w:rsidP="0008008A">
      <w:pPr>
        <w:pStyle w:val="Prrafodelista"/>
        <w:numPr>
          <w:ilvl w:val="0"/>
          <w:numId w:val="10"/>
        </w:numPr>
        <w:ind w:left="1134" w:right="282" w:hanging="283"/>
        <w:jc w:val="both"/>
        <w:rPr>
          <w:rFonts w:ascii="Tahoma" w:hAnsi="Tahoma" w:cs="Tahoma"/>
          <w:i/>
          <w:color w:val="000000"/>
          <w:sz w:val="18"/>
          <w:szCs w:val="18"/>
          <w:lang w:eastAsia="es-PE"/>
        </w:rPr>
      </w:pPr>
      <w:r w:rsidRPr="00016D9B">
        <w:rPr>
          <w:rFonts w:ascii="Tahoma" w:hAnsi="Tahoma" w:cs="Tahoma"/>
          <w:i/>
          <w:color w:val="000000"/>
          <w:sz w:val="18"/>
          <w:szCs w:val="18"/>
          <w:lang w:eastAsia="es-PE"/>
        </w:rPr>
        <w:t xml:space="preserve">Sírvase remitir el documento debidamente recibido de manera personal por Chirly Aida Aquije Taboada, mediante el cual se le cito para la suscripción del contrato derivado del proceso de selección Adjudicación de Menor Cuantía por Subasta Inversa Electrónica Nª </w:t>
      </w:r>
      <w:r w:rsidRPr="00016D9B">
        <w:rPr>
          <w:rFonts w:ascii="Tahoma" w:hAnsi="Tahoma" w:cs="Tahoma"/>
          <w:i/>
          <w:color w:val="000000"/>
          <w:sz w:val="18"/>
          <w:szCs w:val="18"/>
          <w:lang w:eastAsia="es-PE"/>
        </w:rPr>
        <w:lastRenderedPageBreak/>
        <w:t>0032-2010 MDCH/CE</w:t>
      </w:r>
    </w:p>
    <w:p w:rsidR="0008008A" w:rsidRPr="00016D9B" w:rsidRDefault="0008008A" w:rsidP="0008008A">
      <w:pPr>
        <w:ind w:left="1134" w:right="282" w:hanging="283"/>
        <w:jc w:val="both"/>
        <w:rPr>
          <w:rFonts w:ascii="Verdana" w:hAnsi="Verdana"/>
          <w:i/>
          <w:color w:val="444444"/>
          <w:sz w:val="18"/>
          <w:szCs w:val="18"/>
        </w:rPr>
      </w:pPr>
    </w:p>
    <w:p w:rsidR="0008008A" w:rsidRPr="00016D9B" w:rsidRDefault="0008008A" w:rsidP="0008008A">
      <w:pPr>
        <w:pStyle w:val="Prrafodelista"/>
        <w:numPr>
          <w:ilvl w:val="0"/>
          <w:numId w:val="10"/>
        </w:numPr>
        <w:ind w:left="1134" w:right="282" w:hanging="283"/>
        <w:jc w:val="both"/>
        <w:rPr>
          <w:rFonts w:ascii="Tahoma" w:hAnsi="Tahoma" w:cs="Tahoma"/>
          <w:i/>
          <w:color w:val="000000"/>
          <w:sz w:val="18"/>
          <w:szCs w:val="18"/>
          <w:lang w:eastAsia="es-PE"/>
        </w:rPr>
      </w:pPr>
      <w:r w:rsidRPr="00016D9B">
        <w:rPr>
          <w:rFonts w:ascii="Tahoma" w:hAnsi="Tahoma" w:cs="Tahoma"/>
          <w:i/>
          <w:color w:val="000000"/>
          <w:sz w:val="18"/>
          <w:szCs w:val="18"/>
          <w:lang w:eastAsia="es-PE"/>
        </w:rPr>
        <w:t>De ser el caso, cumpla con remitir copia del documento mediante el cual Chirly Aide Aquije Taboada habría autorizado que la carta de citación para la suscripción del contrato se notifique vía correo electrónico.</w:t>
      </w:r>
    </w:p>
    <w:p w:rsidR="0008008A" w:rsidRPr="00016D9B" w:rsidRDefault="0008008A" w:rsidP="0008008A">
      <w:pPr>
        <w:contextualSpacing/>
        <w:jc w:val="both"/>
        <w:rPr>
          <w:rFonts w:ascii="Tahoma" w:hAnsi="Tahoma" w:cs="Tahoma"/>
          <w:sz w:val="22"/>
          <w:szCs w:val="22"/>
          <w:lang w:val="es-ES_tradnl"/>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Con decreto de fecha 14 de marzo del 2011, se reiteró a la Entidad a fin que cumpla con presentar la documentación solicitada mediante decreto de fecha 08 de marzo de 2011; no obstante ello, la Entidad no cumplió con remitir lo requerido por este Tribunal.</w:t>
      </w:r>
    </w:p>
    <w:p w:rsidR="0008008A" w:rsidRPr="0008008A" w:rsidRDefault="0008008A" w:rsidP="0008008A">
      <w:pPr>
        <w:pStyle w:val="Prrafodelista"/>
        <w:widowControl/>
        <w:suppressAutoHyphens w:val="0"/>
        <w:ind w:left="567"/>
        <w:contextualSpacing/>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Mediante Acuerdo Nº 205/2011.TC-S1 de fecha 28 de marzo del 2011, se dispuso declara, entre otros, lo siguiente:</w:t>
      </w:r>
    </w:p>
    <w:p w:rsidR="0008008A" w:rsidRPr="00ED7BEC" w:rsidRDefault="0008008A" w:rsidP="0008008A">
      <w:pPr>
        <w:rPr>
          <w:rFonts w:ascii="Tahoma" w:hAnsi="Tahoma" w:cs="Tahoma"/>
          <w:sz w:val="22"/>
          <w:szCs w:val="22"/>
        </w:rPr>
      </w:pPr>
    </w:p>
    <w:p w:rsidR="0008008A" w:rsidRPr="002C741F" w:rsidRDefault="0008008A" w:rsidP="0008008A">
      <w:pPr>
        <w:pStyle w:val="Prrafodelista"/>
        <w:numPr>
          <w:ilvl w:val="0"/>
          <w:numId w:val="8"/>
        </w:numPr>
        <w:ind w:left="1134" w:right="424" w:hanging="567"/>
        <w:contextualSpacing/>
        <w:jc w:val="both"/>
        <w:rPr>
          <w:rFonts w:ascii="Tahoma" w:hAnsi="Tahoma" w:cs="Tahoma"/>
          <w:i/>
          <w:sz w:val="18"/>
          <w:szCs w:val="18"/>
        </w:rPr>
      </w:pPr>
      <w:r w:rsidRPr="002C741F">
        <w:rPr>
          <w:rFonts w:ascii="Tahoma" w:hAnsi="Tahoma" w:cs="Tahoma"/>
          <w:i/>
          <w:sz w:val="18"/>
          <w:szCs w:val="18"/>
        </w:rPr>
        <w:t>Declarar no ha lugar el inicio del procedimiento administrativo sancionador contra AQUIJE TABOADA CHIRLY AIDA por su supuesta responsabilidad por no suscribir injustificadamente el contrato, durante la Adjudicación de Menor Cuantía por Sub</w:t>
      </w:r>
      <w:r>
        <w:rPr>
          <w:rFonts w:ascii="Tahoma" w:hAnsi="Tahoma" w:cs="Tahoma"/>
          <w:i/>
          <w:sz w:val="18"/>
          <w:szCs w:val="18"/>
        </w:rPr>
        <w:t>asta Inversa Electrónica Nº 0032</w:t>
      </w:r>
      <w:r w:rsidRPr="002C741F">
        <w:rPr>
          <w:rFonts w:ascii="Tahoma" w:hAnsi="Tahoma" w:cs="Tahoma"/>
          <w:i/>
          <w:sz w:val="18"/>
          <w:szCs w:val="18"/>
        </w:rPr>
        <w:t>-2010 MDCH/CE (PRIMERA CONVOCATORIA), infracción tipificada en el literal a), del numeral 51.1 del artículo 51 de la Ley de Contrataciones del Estado en concordancia con el literal a) del numeral 1 del artículo 237 la Ley de Contrataciones del Estado.</w:t>
      </w:r>
    </w:p>
    <w:p w:rsidR="0008008A" w:rsidRPr="002C741F" w:rsidRDefault="0008008A" w:rsidP="0008008A">
      <w:pPr>
        <w:pStyle w:val="Prrafodelista"/>
        <w:ind w:left="1134" w:right="424" w:hanging="567"/>
        <w:contextualSpacing/>
        <w:jc w:val="both"/>
        <w:rPr>
          <w:rFonts w:ascii="Tahoma" w:hAnsi="Tahoma" w:cs="Tahoma"/>
          <w:i/>
          <w:sz w:val="18"/>
          <w:szCs w:val="18"/>
        </w:rPr>
      </w:pPr>
    </w:p>
    <w:p w:rsidR="0008008A" w:rsidRPr="002C741F" w:rsidRDefault="0008008A" w:rsidP="0008008A">
      <w:pPr>
        <w:pStyle w:val="Prrafodelista"/>
        <w:numPr>
          <w:ilvl w:val="0"/>
          <w:numId w:val="8"/>
        </w:numPr>
        <w:ind w:left="1134" w:right="424" w:hanging="567"/>
        <w:contextualSpacing/>
        <w:jc w:val="both"/>
        <w:rPr>
          <w:rFonts w:ascii="Tahoma" w:hAnsi="Tahoma" w:cs="Tahoma"/>
          <w:i/>
          <w:sz w:val="18"/>
          <w:szCs w:val="18"/>
        </w:rPr>
      </w:pPr>
      <w:r w:rsidRPr="002C741F">
        <w:rPr>
          <w:rFonts w:ascii="Tahoma" w:hAnsi="Tahoma" w:cs="Tahoma"/>
          <w:i/>
          <w:sz w:val="18"/>
          <w:szCs w:val="18"/>
          <w:lang w:val="es-MX"/>
        </w:rPr>
        <w:t xml:space="preserve">INICIAR </w:t>
      </w:r>
      <w:r w:rsidRPr="002C741F">
        <w:rPr>
          <w:rFonts w:ascii="Tahoma" w:hAnsi="Tahoma" w:cs="Tahoma"/>
          <w:i/>
          <w:sz w:val="18"/>
          <w:szCs w:val="18"/>
        </w:rPr>
        <w:t>procedimiento administrativo sancionador contra AQUIJE TABOADA CHIRLY AIDA,</w:t>
      </w:r>
      <w:r w:rsidRPr="002C741F">
        <w:rPr>
          <w:rFonts w:ascii="Tahoma" w:hAnsi="Tahoma" w:cs="Tahoma"/>
          <w:i/>
          <w:caps/>
          <w:sz w:val="18"/>
          <w:szCs w:val="18"/>
        </w:rPr>
        <w:t xml:space="preserve"> </w:t>
      </w:r>
      <w:r w:rsidRPr="002C741F">
        <w:rPr>
          <w:rFonts w:ascii="Tahoma" w:hAnsi="Tahoma" w:cs="Tahoma"/>
          <w:i/>
          <w:sz w:val="18"/>
          <w:szCs w:val="18"/>
        </w:rPr>
        <w:t>por su supuesta responsabilidad al no mantener su oferta hasta la suscripción del contrato, durante la Adjudicación de Menor Cuantía por Sub</w:t>
      </w:r>
      <w:r>
        <w:rPr>
          <w:rFonts w:ascii="Tahoma" w:hAnsi="Tahoma" w:cs="Tahoma"/>
          <w:i/>
          <w:sz w:val="18"/>
          <w:szCs w:val="18"/>
        </w:rPr>
        <w:t>asta Inversa Electrónica Nº 0032</w:t>
      </w:r>
      <w:r w:rsidRPr="002C741F">
        <w:rPr>
          <w:rFonts w:ascii="Tahoma" w:hAnsi="Tahoma" w:cs="Tahoma"/>
          <w:i/>
          <w:sz w:val="18"/>
          <w:szCs w:val="18"/>
        </w:rPr>
        <w:t>-2010 MDCH/CE (PRIMERA CONVOCATORIA), infracción tipificada en el literal a), del numeral 51.1 del artículo 51 de la Ley de Contrataciones del Estado en concordancia con el literal a) del numeral 1 del artículo 237 la Ley de Contrataciones del Estado.</w:t>
      </w:r>
    </w:p>
    <w:p w:rsidR="0008008A" w:rsidRDefault="0008008A" w:rsidP="0008008A">
      <w:pPr>
        <w:ind w:left="400"/>
        <w:jc w:val="both"/>
        <w:rPr>
          <w:rFonts w:ascii="Tahoma" w:hAnsi="Tahoma" w:cs="Tahoma"/>
          <w:sz w:val="22"/>
          <w:szCs w:val="22"/>
          <w:lang w:val="es-ES_tradnl" w:eastAsia="es-PE"/>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A través del decreto de fecha 20 de abril del 2011, se dispuso iniciar procedimiento administrativo sancionador contra la Denunciada, por supuesta responsabilidad al no mantener su oferta hasta la suscripción del contrato, durante la Adjudicación de Menor Cuantía por Subasta Inversa Electrónica Nº 0032-2010 MDCH/CE (PRIMERA CONVOCATORIA); asimismo, se otorgó un plazo de diez (10) días hábiles, a fin que la Denunciada presente sus descargos.</w:t>
      </w:r>
    </w:p>
    <w:p w:rsidR="0008008A" w:rsidRPr="0008008A" w:rsidRDefault="0008008A" w:rsidP="0008008A">
      <w:pPr>
        <w:pStyle w:val="Prrafodelista"/>
        <w:widowControl/>
        <w:suppressAutoHyphens w:val="0"/>
        <w:ind w:left="567"/>
        <w:contextualSpacing/>
        <w:jc w:val="both"/>
        <w:rPr>
          <w:rFonts w:ascii="Tahoma" w:hAnsi="Tahoma" w:cs="Tahoma"/>
          <w:sz w:val="22"/>
          <w:szCs w:val="22"/>
        </w:rPr>
      </w:pPr>
    </w:p>
    <w:p w:rsidR="0008008A" w:rsidRPr="0008008A" w:rsidRDefault="0008008A" w:rsidP="0008008A">
      <w:pPr>
        <w:pStyle w:val="Prrafodelista"/>
        <w:widowControl/>
        <w:numPr>
          <w:ilvl w:val="0"/>
          <w:numId w:val="9"/>
        </w:numPr>
        <w:suppressAutoHyphens w:val="0"/>
        <w:contextualSpacing/>
        <w:jc w:val="both"/>
        <w:rPr>
          <w:rFonts w:ascii="Tahoma" w:hAnsi="Tahoma" w:cs="Tahoma"/>
          <w:sz w:val="22"/>
          <w:szCs w:val="22"/>
        </w:rPr>
      </w:pPr>
      <w:r w:rsidRPr="0008008A">
        <w:rPr>
          <w:rFonts w:ascii="Tahoma" w:hAnsi="Tahoma" w:cs="Tahoma"/>
          <w:sz w:val="22"/>
          <w:szCs w:val="22"/>
        </w:rPr>
        <w:t>Teniendo en consideración que la Denunciada no cumplió con presentar sus descargos dentro del plazo otorgado, mediante decreto de fecha 27 de mayo del 2011, se hizo efectivo el apercibimiento de resolver con la documentación obrante en autos, remitiéndose el presente expediente a la Primera Sala del Tribunal.</w:t>
      </w:r>
    </w:p>
    <w:p w:rsidR="0008008A" w:rsidRPr="0008008A" w:rsidRDefault="0008008A" w:rsidP="0008008A">
      <w:pPr>
        <w:contextualSpacing/>
        <w:jc w:val="both"/>
        <w:rPr>
          <w:rFonts w:ascii="Tahoma" w:hAnsi="Tahoma" w:cs="Tahoma"/>
          <w:sz w:val="22"/>
          <w:szCs w:val="22"/>
        </w:rPr>
      </w:pPr>
    </w:p>
    <w:p w:rsidR="0008008A" w:rsidRPr="0008008A" w:rsidRDefault="0008008A" w:rsidP="0008008A">
      <w:pPr>
        <w:pStyle w:val="Prrafodelista"/>
        <w:ind w:left="567"/>
        <w:rPr>
          <w:rFonts w:ascii="Tahoma" w:hAnsi="Tahoma" w:cs="Tahoma"/>
          <w:b/>
          <w:sz w:val="22"/>
          <w:szCs w:val="22"/>
        </w:rPr>
      </w:pPr>
      <w:r w:rsidRPr="0008008A">
        <w:rPr>
          <w:rFonts w:ascii="Tahoma" w:hAnsi="Tahoma" w:cs="Tahoma"/>
          <w:b/>
          <w:sz w:val="22"/>
          <w:szCs w:val="22"/>
        </w:rPr>
        <w:t>FUNDAMENTACIÓN</w:t>
      </w:r>
    </w:p>
    <w:p w:rsidR="0008008A" w:rsidRPr="0008008A" w:rsidRDefault="0008008A" w:rsidP="0008008A">
      <w:pPr>
        <w:ind w:left="426"/>
        <w:jc w:val="both"/>
        <w:rPr>
          <w:rFonts w:ascii="Tahoma" w:hAnsi="Tahoma" w:cs="Tahoma"/>
          <w:sz w:val="22"/>
          <w:szCs w:val="22"/>
          <w:lang w:eastAsia="es-PE"/>
        </w:rPr>
      </w:pPr>
    </w:p>
    <w:p w:rsidR="0008008A" w:rsidRPr="0008008A" w:rsidRDefault="0008008A" w:rsidP="0008008A">
      <w:pPr>
        <w:pStyle w:val="Prrafodelista"/>
        <w:widowControl/>
        <w:numPr>
          <w:ilvl w:val="0"/>
          <w:numId w:val="11"/>
        </w:numPr>
        <w:tabs>
          <w:tab w:val="clear" w:pos="567"/>
        </w:tabs>
        <w:suppressAutoHyphens w:val="0"/>
        <w:contextualSpacing/>
        <w:jc w:val="both"/>
        <w:rPr>
          <w:rFonts w:ascii="Tahoma" w:hAnsi="Tahoma" w:cs="Tahoma"/>
          <w:sz w:val="22"/>
          <w:szCs w:val="22"/>
        </w:rPr>
      </w:pPr>
      <w:r w:rsidRPr="0008008A">
        <w:rPr>
          <w:rFonts w:ascii="Tahoma" w:hAnsi="Tahoma" w:cs="Tahoma"/>
          <w:sz w:val="22"/>
          <w:szCs w:val="22"/>
        </w:rPr>
        <w:t xml:space="preserve">El presente procedimiento administrativo sancionador ha sido iniciado contra la Denunciada, por su supuesta responsabilidad al no mantener su oferta hasta la suscripción del contrato, durante la Adjudicación de Menor Cuantía por Subasta </w:t>
      </w:r>
      <w:r w:rsidRPr="0008008A">
        <w:rPr>
          <w:rFonts w:ascii="Tahoma" w:hAnsi="Tahoma" w:cs="Tahoma"/>
          <w:sz w:val="22"/>
          <w:szCs w:val="22"/>
        </w:rPr>
        <w:lastRenderedPageBreak/>
        <w:t>Inversa Electrónica Nº 0032-2010 MDCH/CE (PRIMERA CONVOCATORIA); infracción tipificada en el literal a) del numeral 51.1 del artículo 51) de la Ley de Contrataciones del Estado, aprobado mediante Decreto Legislativo Nº 1017, en lo sucesivo la Ley, normativa vigente al suscitarse los hechos materia de análisis.</w:t>
      </w:r>
    </w:p>
    <w:p w:rsidR="0008008A" w:rsidRPr="0008008A" w:rsidRDefault="0008008A" w:rsidP="0008008A">
      <w:pPr>
        <w:pStyle w:val="Prrafodelista"/>
        <w:widowControl/>
        <w:suppressAutoHyphens w:val="0"/>
        <w:ind w:left="567" w:hanging="567"/>
        <w:contextualSpacing/>
        <w:jc w:val="both"/>
        <w:rPr>
          <w:rFonts w:ascii="Tahoma" w:hAnsi="Tahoma" w:cs="Tahoma"/>
          <w:sz w:val="22"/>
          <w:szCs w:val="22"/>
        </w:rPr>
      </w:pPr>
    </w:p>
    <w:p w:rsidR="0008008A" w:rsidRPr="0008008A" w:rsidRDefault="0008008A" w:rsidP="0008008A">
      <w:pPr>
        <w:pStyle w:val="Prrafodelista"/>
        <w:widowControl/>
        <w:numPr>
          <w:ilvl w:val="0"/>
          <w:numId w:val="11"/>
        </w:numPr>
        <w:tabs>
          <w:tab w:val="clear" w:pos="567"/>
        </w:tabs>
        <w:suppressAutoHyphens w:val="0"/>
        <w:contextualSpacing/>
        <w:jc w:val="both"/>
        <w:rPr>
          <w:rFonts w:ascii="Tahoma" w:hAnsi="Tahoma" w:cs="Tahoma"/>
          <w:b/>
          <w:sz w:val="22"/>
          <w:szCs w:val="22"/>
          <w:lang w:eastAsia="es-PE"/>
        </w:rPr>
      </w:pPr>
      <w:r w:rsidRPr="0008008A">
        <w:rPr>
          <w:rFonts w:ascii="Tahoma" w:hAnsi="Tahoma" w:cs="Tahoma"/>
          <w:sz w:val="22"/>
          <w:szCs w:val="22"/>
        </w:rPr>
        <w:t>Sobre el particular, dicha causal de sanción se configura ya sea porque el postor retiró su oferta antes del consentimiento de la buena pro, o porque retiró su oferta antes de suscribir el contrato una vez ya obtenida la buena pro.</w:t>
      </w:r>
    </w:p>
    <w:p w:rsidR="0008008A" w:rsidRPr="0008008A" w:rsidRDefault="0008008A" w:rsidP="0008008A">
      <w:pPr>
        <w:pStyle w:val="Prrafodelista"/>
        <w:ind w:left="567" w:hanging="567"/>
        <w:rPr>
          <w:rFonts w:ascii="Tahoma" w:hAnsi="Tahoma" w:cs="Tahoma"/>
          <w:b/>
          <w:sz w:val="22"/>
          <w:szCs w:val="22"/>
          <w:lang w:eastAsia="es-PE"/>
        </w:rPr>
      </w:pPr>
    </w:p>
    <w:p w:rsidR="0008008A" w:rsidRPr="0008008A" w:rsidRDefault="0008008A" w:rsidP="0008008A">
      <w:pPr>
        <w:pStyle w:val="Prrafodelista"/>
        <w:widowControl/>
        <w:numPr>
          <w:ilvl w:val="0"/>
          <w:numId w:val="11"/>
        </w:numPr>
        <w:tabs>
          <w:tab w:val="clear" w:pos="567"/>
        </w:tabs>
        <w:suppressAutoHyphens w:val="0"/>
        <w:contextualSpacing/>
        <w:jc w:val="both"/>
        <w:rPr>
          <w:rFonts w:ascii="Tahoma" w:hAnsi="Tahoma" w:cs="Tahoma"/>
          <w:b/>
          <w:sz w:val="22"/>
          <w:szCs w:val="22"/>
          <w:lang w:eastAsia="es-PE"/>
        </w:rPr>
      </w:pPr>
      <w:r w:rsidRPr="0008008A">
        <w:rPr>
          <w:rFonts w:ascii="Tahoma" w:hAnsi="Tahoma" w:cs="Tahoma"/>
          <w:sz w:val="22"/>
          <w:szCs w:val="22"/>
        </w:rPr>
        <w:t>Cabe precisar que el literal numeral ii.d del numeral 1.a) del artículo 42 del Reglamento establece que el postor se compromete a mantener su oferta durante el proceso de selección y a suscribir el contrato en caso de resultar favorecido con la buena pro; lo cual implica que el postor al elaborar y presentar su propuesta debe actuar con responsabilidad y seriedad, toda vez que la norma antes citada lo obliga a mantener la oferta que propone hasta el acto de consentimiento del otorgamiento de la buena pro o, luego de obtenida ésta, hasta antes de suscribir el contrato.</w:t>
      </w:r>
    </w:p>
    <w:p w:rsidR="0008008A" w:rsidRPr="0008008A" w:rsidRDefault="0008008A" w:rsidP="0008008A">
      <w:pPr>
        <w:pStyle w:val="Prrafodelista"/>
        <w:ind w:left="567" w:hanging="567"/>
        <w:rPr>
          <w:rFonts w:ascii="Tahoma" w:hAnsi="Tahoma" w:cs="Tahoma"/>
          <w:b/>
          <w:sz w:val="22"/>
          <w:szCs w:val="22"/>
          <w:lang w:eastAsia="es-PE"/>
        </w:rPr>
      </w:pPr>
    </w:p>
    <w:p w:rsidR="0008008A" w:rsidRPr="0008008A" w:rsidRDefault="0008008A" w:rsidP="0008008A">
      <w:pPr>
        <w:pStyle w:val="Prrafodelista"/>
        <w:widowControl/>
        <w:numPr>
          <w:ilvl w:val="0"/>
          <w:numId w:val="11"/>
        </w:numPr>
        <w:tabs>
          <w:tab w:val="clear" w:pos="567"/>
        </w:tabs>
        <w:suppressAutoHyphens w:val="0"/>
        <w:contextualSpacing/>
        <w:jc w:val="both"/>
        <w:rPr>
          <w:rFonts w:ascii="Tahoma" w:hAnsi="Tahoma" w:cs="Tahoma"/>
          <w:b/>
          <w:sz w:val="22"/>
          <w:szCs w:val="22"/>
          <w:lang w:eastAsia="es-PE"/>
        </w:rPr>
      </w:pPr>
      <w:r w:rsidRPr="0008008A">
        <w:rPr>
          <w:rFonts w:ascii="Tahoma" w:hAnsi="Tahoma" w:cs="Tahoma"/>
          <w:sz w:val="22"/>
          <w:szCs w:val="22"/>
        </w:rPr>
        <w:t xml:space="preserve">Respecto a ello, se debe indicar que es criterio de este Tribunal que el señalamiento expreso, por parte de los postores adjudicatarios, </w:t>
      </w:r>
      <w:r w:rsidRPr="0008008A">
        <w:rPr>
          <w:rFonts w:ascii="Tahoma" w:hAnsi="Tahoma" w:cs="Tahoma"/>
          <w:b/>
          <w:sz w:val="22"/>
          <w:szCs w:val="22"/>
        </w:rPr>
        <w:t>en el caso que la infracción sea la de no mantener su oferta</w:t>
      </w:r>
      <w:r w:rsidRPr="0008008A">
        <w:rPr>
          <w:rFonts w:ascii="Tahoma" w:hAnsi="Tahoma" w:cs="Tahoma"/>
          <w:sz w:val="22"/>
          <w:szCs w:val="22"/>
        </w:rPr>
        <w:t xml:space="preserve">, no obliga a la Entidad a continuar con el trámite formal de citación para la suscripción del contrato, debido a que la naturaleza de los procesos de selección, en los que la oportunidad de la adquisición es determinante, teniendo en cuenta que a través de estos se busca satisfacer una necesidad real de la Administración Pública o de los usuarios de sus servicios y prestaciones de modo tal que, conforme al </w:t>
      </w:r>
      <w:r w:rsidRPr="0008008A">
        <w:rPr>
          <w:rFonts w:ascii="Tahoma" w:hAnsi="Tahoma" w:cs="Tahoma"/>
          <w:i/>
          <w:sz w:val="22"/>
          <w:szCs w:val="22"/>
        </w:rPr>
        <w:t>principio de economía</w:t>
      </w:r>
      <w:r w:rsidRPr="0008008A">
        <w:rPr>
          <w:rFonts w:ascii="Tahoma" w:hAnsi="Tahoma" w:cs="Tahoma"/>
          <w:sz w:val="22"/>
          <w:szCs w:val="22"/>
        </w:rPr>
        <w:t xml:space="preserve"> que rige para estos casos, deben evitarse formalidades innecesarias, no pudiendo exigirse a la Entidad que pese a la conducta del postor que obtuvo la buena pro, deba continuar emplazándolo para la suscripción del contrato.</w:t>
      </w:r>
    </w:p>
    <w:p w:rsidR="0008008A" w:rsidRPr="0008008A" w:rsidRDefault="0008008A" w:rsidP="0008008A">
      <w:pPr>
        <w:pStyle w:val="Prrafodelista"/>
        <w:ind w:left="567" w:hanging="567"/>
        <w:rPr>
          <w:rFonts w:ascii="Tahoma" w:hAnsi="Tahoma" w:cs="Tahoma"/>
          <w:b/>
          <w:sz w:val="22"/>
          <w:szCs w:val="22"/>
          <w:lang w:eastAsia="es-PE"/>
        </w:rPr>
      </w:pPr>
    </w:p>
    <w:p w:rsidR="0008008A" w:rsidRPr="0008008A" w:rsidRDefault="0008008A" w:rsidP="0008008A">
      <w:pPr>
        <w:pStyle w:val="Prrafodelista"/>
        <w:widowControl/>
        <w:numPr>
          <w:ilvl w:val="0"/>
          <w:numId w:val="11"/>
        </w:numPr>
        <w:tabs>
          <w:tab w:val="clear" w:pos="567"/>
        </w:tabs>
        <w:suppressAutoHyphens w:val="0"/>
        <w:contextualSpacing/>
        <w:jc w:val="both"/>
        <w:rPr>
          <w:rFonts w:ascii="Tahoma" w:hAnsi="Tahoma" w:cs="Tahoma"/>
          <w:sz w:val="22"/>
          <w:szCs w:val="22"/>
          <w:lang w:eastAsia="es-PE"/>
        </w:rPr>
      </w:pPr>
      <w:r w:rsidRPr="0008008A">
        <w:rPr>
          <w:rFonts w:ascii="Tahoma" w:hAnsi="Tahoma" w:cs="Tahoma"/>
          <w:sz w:val="22"/>
          <w:szCs w:val="22"/>
          <w:lang w:eastAsia="es-PE"/>
        </w:rPr>
        <w:t>Ahora bien, si los postores no mantienen sus ofertas cuando la Entidad ya inicio el procedimiento para la suscripción del contrato, es decir cuando ya los citó para la suscripción del correspondiente contrato, este Tribunal deberá verificar si dicha citación se realizó en estricto cumplimiento de los plazos y el procedimiento establecido en el artículo 148 del Reglamento, toda vez que los postores quedaran liberados de su obligación de mantener su oferta, en el caso que la Entidad no cumpla con citarlos según los plazos establecidos en dicho artículo 148.</w:t>
      </w:r>
    </w:p>
    <w:p w:rsidR="0008008A" w:rsidRPr="0008008A" w:rsidRDefault="0008008A" w:rsidP="0008008A">
      <w:pPr>
        <w:ind w:left="567" w:hanging="567"/>
        <w:contextualSpacing/>
        <w:jc w:val="both"/>
        <w:rPr>
          <w:rFonts w:ascii="Tahoma" w:hAnsi="Tahoma" w:cs="Tahoma"/>
          <w:sz w:val="22"/>
          <w:szCs w:val="22"/>
          <w:lang w:eastAsia="es-PE"/>
        </w:rPr>
      </w:pPr>
    </w:p>
    <w:p w:rsidR="0008008A" w:rsidRPr="0008008A" w:rsidRDefault="0008008A" w:rsidP="0008008A">
      <w:pPr>
        <w:pStyle w:val="Prrafodelista"/>
        <w:widowControl/>
        <w:suppressAutoHyphens w:val="0"/>
        <w:ind w:left="567"/>
        <w:contextualSpacing/>
        <w:jc w:val="both"/>
        <w:rPr>
          <w:rFonts w:ascii="Tahoma" w:hAnsi="Tahoma" w:cs="Tahoma"/>
          <w:sz w:val="22"/>
          <w:szCs w:val="22"/>
          <w:lang w:eastAsia="es-PE"/>
        </w:rPr>
      </w:pPr>
      <w:r w:rsidRPr="0008008A">
        <w:rPr>
          <w:rFonts w:ascii="Tahoma" w:hAnsi="Tahoma" w:cs="Tahoma"/>
          <w:sz w:val="22"/>
          <w:szCs w:val="22"/>
          <w:lang w:eastAsia="es-PE"/>
        </w:rPr>
        <w:t xml:space="preserve">En tal sentido, cabe precisar que el </w:t>
      </w:r>
      <w:r w:rsidRPr="0008008A">
        <w:rPr>
          <w:rFonts w:ascii="Tahoma" w:hAnsi="Tahoma" w:cs="Tahoma"/>
          <w:color w:val="000000" w:themeColor="text1"/>
          <w:sz w:val="22"/>
          <w:szCs w:val="22"/>
        </w:rPr>
        <w:t>numeral 1 del artículo 148 del Reglamento prescribe que dentro de los dos (2) días hábiles siguientes al consentimiento de la Buena Pro, la Entidad deberá citar al postor ganador, a quien deberá otorgarle un plazo mínimo de cinco (5) y máximo de diez (10) días hábiles, dentro del cual deberá presentarse a suscribir el contrato con toda la documentación requerida</w:t>
      </w:r>
      <w:r w:rsidRPr="0008008A">
        <w:rPr>
          <w:rFonts w:ascii="Tahoma" w:hAnsi="Tahoma" w:cs="Tahoma"/>
          <w:sz w:val="22"/>
          <w:szCs w:val="22"/>
          <w:lang w:eastAsia="es-PE"/>
        </w:rPr>
        <w:t xml:space="preserve">, </w:t>
      </w:r>
    </w:p>
    <w:p w:rsidR="0008008A" w:rsidRPr="0008008A" w:rsidRDefault="0008008A" w:rsidP="0008008A">
      <w:pPr>
        <w:pStyle w:val="Prrafodelista"/>
        <w:ind w:left="567" w:hanging="567"/>
        <w:rPr>
          <w:rFonts w:ascii="Tahoma" w:hAnsi="Tahoma" w:cs="Tahoma"/>
          <w:sz w:val="22"/>
          <w:szCs w:val="22"/>
          <w:lang w:eastAsia="es-PE"/>
        </w:rPr>
      </w:pPr>
    </w:p>
    <w:p w:rsidR="0008008A" w:rsidRPr="0008008A" w:rsidRDefault="0008008A" w:rsidP="0008008A">
      <w:pPr>
        <w:numPr>
          <w:ilvl w:val="0"/>
          <w:numId w:val="11"/>
        </w:numPr>
        <w:tabs>
          <w:tab w:val="clear" w:pos="567"/>
        </w:tabs>
        <w:jc w:val="both"/>
        <w:rPr>
          <w:rFonts w:ascii="Tahoma" w:hAnsi="Tahoma" w:cs="Tahoma"/>
          <w:sz w:val="22"/>
          <w:szCs w:val="22"/>
        </w:rPr>
      </w:pPr>
      <w:r w:rsidRPr="0008008A">
        <w:rPr>
          <w:rFonts w:ascii="Tahoma" w:hAnsi="Tahoma" w:cs="Tahoma"/>
          <w:sz w:val="22"/>
          <w:szCs w:val="22"/>
          <w:lang w:val="es-ES_tradnl" w:eastAsia="es-PE"/>
        </w:rPr>
        <w:t>De todo ello, se debe tener en cuenta que, tal como se ha señalado en los antecedentes,</w:t>
      </w:r>
      <w:r w:rsidRPr="0008008A">
        <w:rPr>
          <w:rFonts w:ascii="Tahoma" w:hAnsi="Tahoma" w:cs="Tahoma"/>
          <w:sz w:val="22"/>
          <w:szCs w:val="22"/>
          <w:lang w:eastAsia="es-PE"/>
        </w:rPr>
        <w:t xml:space="preserve"> </w:t>
      </w:r>
      <w:r w:rsidRPr="0008008A">
        <w:rPr>
          <w:rFonts w:ascii="Tahoma" w:hAnsi="Tahoma" w:cs="Tahoma"/>
          <w:bCs/>
          <w:sz w:val="22"/>
          <w:szCs w:val="22"/>
        </w:rPr>
        <w:t>e</w:t>
      </w:r>
      <w:r w:rsidRPr="0008008A">
        <w:rPr>
          <w:rFonts w:ascii="Tahoma" w:hAnsi="Tahoma" w:cs="Tahoma"/>
          <w:sz w:val="22"/>
          <w:szCs w:val="22"/>
        </w:rPr>
        <w:t>l 10 de junio del 2010 le fue adjudicada a la Denunciada la Buena Pro del proceso de selección Adjudicación de Menor Cuantía por Subasta Inversa Electrónica Nº 0032-2010 MDCH/CE (PRIMERA CONVOCATORIA)</w:t>
      </w:r>
      <w:r w:rsidRPr="0008008A">
        <w:rPr>
          <w:rFonts w:ascii="Tahoma" w:hAnsi="Tahoma" w:cs="Tahoma"/>
          <w:bCs/>
          <w:sz w:val="22"/>
          <w:szCs w:val="22"/>
          <w:lang w:val="es-ES_tradnl"/>
        </w:rPr>
        <w:t>; en tal sentido, en virtud a lo establecido en el artículo 96 del Reglamento, el consentimiento se debió haber dado el 17 de junio del 2010, es decir a los cinco días hábiles siguientes del otorgamiento de la Buena Pro, por lo cual, la Entidad debía citar a la Denunciada los días 18 y 21 de junio del 2010.</w:t>
      </w:r>
    </w:p>
    <w:p w:rsidR="0008008A" w:rsidRPr="0008008A" w:rsidRDefault="0008008A" w:rsidP="0008008A">
      <w:pPr>
        <w:ind w:left="567" w:hanging="567"/>
        <w:jc w:val="both"/>
        <w:rPr>
          <w:rFonts w:ascii="Tahoma" w:hAnsi="Tahoma" w:cs="Tahoma"/>
          <w:sz w:val="22"/>
          <w:szCs w:val="22"/>
        </w:rPr>
      </w:pPr>
    </w:p>
    <w:p w:rsidR="0008008A" w:rsidRPr="0008008A" w:rsidRDefault="0008008A" w:rsidP="0008008A">
      <w:pPr>
        <w:numPr>
          <w:ilvl w:val="0"/>
          <w:numId w:val="11"/>
        </w:numPr>
        <w:tabs>
          <w:tab w:val="clear" w:pos="567"/>
        </w:tabs>
        <w:jc w:val="both"/>
        <w:rPr>
          <w:rFonts w:ascii="Tahoma" w:hAnsi="Tahoma" w:cs="Tahoma"/>
          <w:sz w:val="22"/>
          <w:szCs w:val="22"/>
        </w:rPr>
      </w:pPr>
      <w:r w:rsidRPr="0008008A">
        <w:rPr>
          <w:rFonts w:ascii="Tahoma" w:hAnsi="Tahoma" w:cs="Tahoma"/>
          <w:sz w:val="22"/>
          <w:szCs w:val="22"/>
        </w:rPr>
        <w:t>No obstante lo señalado anteriormente, de la documentación que obra en autos, se puede advertir que la Entidad,</w:t>
      </w:r>
      <w:r w:rsidRPr="0008008A">
        <w:rPr>
          <w:rFonts w:ascii="Tahoma" w:hAnsi="Tahoma" w:cs="Tahoma"/>
          <w:bCs/>
          <w:sz w:val="22"/>
          <w:szCs w:val="22"/>
          <w:lang w:val="es-ES_tradnl"/>
        </w:rPr>
        <w:t xml:space="preserve"> </w:t>
      </w:r>
      <w:r w:rsidRPr="0008008A">
        <w:rPr>
          <w:rFonts w:ascii="Tahoma" w:hAnsi="Tahoma" w:cs="Tahoma"/>
          <w:sz w:val="22"/>
          <w:szCs w:val="22"/>
        </w:rPr>
        <w:t>con fecha 23 de junio de 2010, envió un correo electrónico a la Denunciada, remitiéndole la carta de Buena Pro del proceso de selección y otorgándole un plazo de 10 días para suscribir el contrato; sin embargo, mediante carta de fecha 05 de julio del 2010</w:t>
      </w:r>
      <w:r w:rsidRPr="0008008A">
        <w:rPr>
          <w:rStyle w:val="Refdenotaalpie"/>
          <w:rFonts w:ascii="Tahoma" w:hAnsi="Tahoma" w:cs="Tahoma"/>
          <w:sz w:val="22"/>
          <w:szCs w:val="22"/>
        </w:rPr>
        <w:footnoteReference w:id="2"/>
      </w:r>
      <w:r w:rsidRPr="0008008A">
        <w:rPr>
          <w:rFonts w:ascii="Tahoma" w:hAnsi="Tahoma" w:cs="Tahoma"/>
          <w:sz w:val="22"/>
          <w:szCs w:val="22"/>
        </w:rPr>
        <w:t xml:space="preserve">, </w:t>
      </w:r>
      <w:r w:rsidRPr="0008008A">
        <w:rPr>
          <w:rFonts w:ascii="Tahoma" w:hAnsi="Tahoma" w:cs="Tahoma"/>
          <w:sz w:val="22"/>
          <w:szCs w:val="22"/>
          <w:lang w:eastAsia="es-PE"/>
        </w:rPr>
        <w:t>la Denunciada solicitó a la Entidad su desistimiento del otorgamiento de la Buena Pro.</w:t>
      </w:r>
    </w:p>
    <w:p w:rsidR="0008008A" w:rsidRPr="0008008A" w:rsidRDefault="0008008A" w:rsidP="0008008A">
      <w:pPr>
        <w:pStyle w:val="Prrafodelista"/>
        <w:ind w:left="567" w:hanging="567"/>
        <w:rPr>
          <w:rFonts w:ascii="Tahoma" w:hAnsi="Tahoma" w:cs="Tahoma"/>
          <w:sz w:val="22"/>
          <w:szCs w:val="22"/>
        </w:rPr>
      </w:pPr>
    </w:p>
    <w:p w:rsidR="0008008A" w:rsidRPr="0008008A" w:rsidRDefault="0008008A" w:rsidP="0008008A">
      <w:pPr>
        <w:numPr>
          <w:ilvl w:val="0"/>
          <w:numId w:val="11"/>
        </w:numPr>
        <w:tabs>
          <w:tab w:val="clear" w:pos="567"/>
        </w:tabs>
        <w:jc w:val="both"/>
        <w:rPr>
          <w:rFonts w:ascii="Tahoma" w:hAnsi="Tahoma" w:cs="Tahoma"/>
          <w:sz w:val="22"/>
          <w:szCs w:val="22"/>
        </w:rPr>
      </w:pPr>
      <w:r w:rsidRPr="0008008A">
        <w:rPr>
          <w:rFonts w:ascii="Tahoma" w:hAnsi="Tahoma" w:cs="Tahoma"/>
          <w:sz w:val="22"/>
          <w:szCs w:val="22"/>
        </w:rPr>
        <w:t>Nótese entonces, que la Entidad no cumplió con el procedimiento para citar a la Denunciada para la suscripción del contrato según lo establecido en el Reglamento, toda vez que la carta de citación solamente fue enviada vía correo electrónico, sin que haya sido notificada de manera personal a la Denunciada, asimismo, en el supuesto que dicha comunicación electrónica haya sido autorizada por la Denunciada, ésta habría sido remitida de manera extemporánea, toda vez que no fue notificada dentro de los dos (02) días hábiles siguientes al consentimiento de la Buena Pro.</w:t>
      </w:r>
    </w:p>
    <w:p w:rsidR="0008008A" w:rsidRPr="0008008A" w:rsidRDefault="0008008A" w:rsidP="0008008A">
      <w:pPr>
        <w:pStyle w:val="Prrafodelista"/>
        <w:ind w:left="567" w:hanging="567"/>
        <w:rPr>
          <w:rFonts w:ascii="Tahoma" w:hAnsi="Tahoma" w:cs="Tahoma"/>
          <w:sz w:val="22"/>
          <w:szCs w:val="22"/>
        </w:rPr>
      </w:pPr>
    </w:p>
    <w:p w:rsidR="0008008A" w:rsidRPr="0008008A" w:rsidRDefault="0008008A" w:rsidP="0008008A">
      <w:pPr>
        <w:numPr>
          <w:ilvl w:val="0"/>
          <w:numId w:val="11"/>
        </w:numPr>
        <w:tabs>
          <w:tab w:val="clear" w:pos="567"/>
        </w:tabs>
        <w:jc w:val="both"/>
        <w:rPr>
          <w:rFonts w:ascii="Tahoma" w:hAnsi="Tahoma" w:cs="Tahoma"/>
          <w:sz w:val="22"/>
          <w:szCs w:val="22"/>
        </w:rPr>
      </w:pPr>
      <w:r w:rsidRPr="0008008A">
        <w:rPr>
          <w:rFonts w:ascii="Tahoma" w:hAnsi="Tahoma" w:cs="Tahoma"/>
          <w:sz w:val="22"/>
          <w:szCs w:val="22"/>
          <w:lang w:val="es-ES_tradnl"/>
        </w:rPr>
        <w:t xml:space="preserve">Por lo tanto, si bien es cierto la Denunciada a través de la carta de fecha 05 de julio del 2010 se desistió del otorgamiento de la Buena Pro adjudicado a su favor, no es menos cierto que ya había </w:t>
      </w:r>
      <w:r w:rsidRPr="0008008A">
        <w:rPr>
          <w:rFonts w:ascii="Tahoma" w:hAnsi="Tahoma" w:cs="Tahoma"/>
          <w:sz w:val="22"/>
          <w:szCs w:val="22"/>
          <w:lang w:val="es-PE"/>
        </w:rPr>
        <w:t>quedado liberado de su obligación de mantener su oferta ante la demora de la Entidad, al no citarlo de manera oportuna a fin de suscribir el contrato.</w:t>
      </w:r>
      <w:r w:rsidRPr="0008008A">
        <w:rPr>
          <w:rFonts w:ascii="Tahoma" w:hAnsi="Tahoma" w:cs="Tahoma"/>
          <w:sz w:val="22"/>
          <w:szCs w:val="22"/>
        </w:rPr>
        <w:t xml:space="preserve"> </w:t>
      </w:r>
    </w:p>
    <w:p w:rsidR="0008008A" w:rsidRPr="0008008A" w:rsidRDefault="0008008A" w:rsidP="0008008A">
      <w:pPr>
        <w:pStyle w:val="Prrafodelista"/>
        <w:ind w:left="567" w:hanging="567"/>
        <w:rPr>
          <w:rFonts w:ascii="Tahoma" w:hAnsi="Tahoma" w:cs="Tahoma"/>
          <w:sz w:val="22"/>
          <w:szCs w:val="22"/>
        </w:rPr>
      </w:pPr>
    </w:p>
    <w:p w:rsidR="0008008A" w:rsidRPr="0008008A" w:rsidRDefault="0008008A" w:rsidP="0008008A">
      <w:pPr>
        <w:numPr>
          <w:ilvl w:val="0"/>
          <w:numId w:val="11"/>
        </w:numPr>
        <w:tabs>
          <w:tab w:val="clear" w:pos="567"/>
        </w:tabs>
        <w:jc w:val="both"/>
        <w:rPr>
          <w:rFonts w:ascii="Tahoma" w:hAnsi="Tahoma" w:cs="Tahoma"/>
          <w:sz w:val="22"/>
          <w:szCs w:val="22"/>
        </w:rPr>
      </w:pPr>
      <w:r w:rsidRPr="0008008A">
        <w:rPr>
          <w:rFonts w:ascii="Tahoma" w:hAnsi="Tahoma" w:cs="Tahoma"/>
          <w:color w:val="000000" w:themeColor="text1"/>
          <w:sz w:val="22"/>
          <w:szCs w:val="22"/>
          <w:lang w:eastAsia="es-PE"/>
        </w:rPr>
        <w:t xml:space="preserve">En consideración a lo señalado, este Colegiado es de la opinión que no corresponde imponer sanción administrativa a la Denunciada por la causal de infracción </w:t>
      </w:r>
      <w:r w:rsidRPr="0008008A">
        <w:rPr>
          <w:rFonts w:ascii="Tahoma" w:hAnsi="Tahoma" w:cs="Tahoma"/>
          <w:color w:val="000000"/>
          <w:sz w:val="22"/>
          <w:szCs w:val="22"/>
        </w:rPr>
        <w:t>por no mantener su oferta hasta la suscripción del contrato.</w:t>
      </w:r>
    </w:p>
    <w:p w:rsidR="0008008A" w:rsidRPr="0008008A" w:rsidRDefault="0008008A" w:rsidP="0008008A">
      <w:pPr>
        <w:jc w:val="both"/>
        <w:rPr>
          <w:rFonts w:ascii="Tahoma" w:hAnsi="Tahoma" w:cs="Tahoma"/>
          <w:sz w:val="22"/>
          <w:szCs w:val="22"/>
        </w:rPr>
      </w:pPr>
    </w:p>
    <w:p w:rsidR="0008008A" w:rsidRPr="0008008A" w:rsidRDefault="0008008A" w:rsidP="0008008A">
      <w:pPr>
        <w:ind w:firstLine="567"/>
        <w:jc w:val="both"/>
        <w:rPr>
          <w:rFonts w:ascii="Tahoma" w:eastAsiaTheme="minorHAnsi" w:hAnsi="Tahoma" w:cs="Tahoma"/>
          <w:color w:val="000000"/>
          <w:sz w:val="22"/>
          <w:szCs w:val="22"/>
        </w:rPr>
      </w:pPr>
      <w:r w:rsidRPr="0008008A">
        <w:rPr>
          <w:rFonts w:ascii="Tahoma" w:hAnsi="Tahoma" w:cs="Tahoma"/>
          <w:sz w:val="22"/>
          <w:szCs w:val="22"/>
        </w:rPr>
        <w:t xml:space="preserve">Por estos fundamentos, </w:t>
      </w:r>
      <w:r w:rsidRPr="0008008A">
        <w:rPr>
          <w:rFonts w:ascii="Tahoma" w:hAnsi="Tahoma" w:cs="Tahoma"/>
          <w:color w:val="000000"/>
          <w:sz w:val="22"/>
          <w:szCs w:val="22"/>
        </w:rPr>
        <w:t>de conformidad con el inf</w:t>
      </w:r>
      <w:r w:rsidRPr="0008008A">
        <w:rPr>
          <w:rFonts w:ascii="Tahoma" w:eastAsia="Calibri" w:hAnsi="Tahoma" w:cs="Tahoma"/>
          <w:color w:val="000000"/>
          <w:sz w:val="22"/>
          <w:szCs w:val="22"/>
        </w:rPr>
        <w:t xml:space="preserve">orme de la Vocal Ponente Dra. Ada Rosa Basulto Liewald y la intervención de los Señores Vocales </w:t>
      </w:r>
      <w:r w:rsidRPr="0008008A">
        <w:rPr>
          <w:rFonts w:ascii="Tahoma" w:eastAsiaTheme="minorHAnsi" w:hAnsi="Tahoma" w:cs="Tahoma"/>
          <w:color w:val="000000"/>
          <w:sz w:val="22"/>
          <w:szCs w:val="22"/>
        </w:rPr>
        <w:t xml:space="preserve">Dr. Carlos Vicente Navas Rondón y </w:t>
      </w:r>
      <w:r w:rsidRPr="0008008A">
        <w:rPr>
          <w:rFonts w:ascii="Tahoma" w:eastAsia="Calibri" w:hAnsi="Tahoma" w:cs="Tahoma"/>
          <w:color w:val="000000"/>
          <w:sz w:val="22"/>
          <w:szCs w:val="22"/>
        </w:rPr>
        <w:t xml:space="preserve">Dra. Janette Elke Ramírez Maynetto; </w:t>
      </w:r>
      <w:r w:rsidRPr="0008008A">
        <w:rPr>
          <w:rFonts w:ascii="Tahoma" w:eastAsiaTheme="minorHAnsi" w:hAnsi="Tahoma" w:cs="Tahoma"/>
          <w:color w:val="000000"/>
          <w:sz w:val="22"/>
          <w:szCs w:val="22"/>
        </w:rPr>
        <w:t xml:space="preserve">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w:t>
      </w:r>
      <w:r w:rsidRPr="0008008A">
        <w:rPr>
          <w:rFonts w:ascii="Tahoma" w:eastAsiaTheme="minorHAnsi" w:hAnsi="Tahoma" w:cs="Tahoma"/>
          <w:color w:val="000000"/>
          <w:sz w:val="22"/>
          <w:szCs w:val="22"/>
        </w:rPr>
        <w:lastRenderedPageBreak/>
        <w:t>Estado, aprobada por Decreto Legislativo № 1017, y los artículos 17 y 18 del Reglamento de Organización y Funciones del OSCE, aprobado por Decreto Supremo № 006-2009-EF, analizados los antecedentes y luego de agotado el debate correspondiente, por mayoría</w:t>
      </w:r>
    </w:p>
    <w:p w:rsidR="0008008A" w:rsidRPr="0008008A" w:rsidRDefault="0008008A" w:rsidP="0008008A">
      <w:pPr>
        <w:ind w:firstLine="426"/>
        <w:jc w:val="both"/>
        <w:rPr>
          <w:rFonts w:ascii="Tahoma" w:hAnsi="Tahoma" w:cs="Tahoma"/>
          <w:sz w:val="22"/>
          <w:szCs w:val="22"/>
        </w:rPr>
      </w:pPr>
    </w:p>
    <w:p w:rsidR="0008008A" w:rsidRPr="0008008A" w:rsidRDefault="0008008A" w:rsidP="0008008A">
      <w:pPr>
        <w:jc w:val="both"/>
        <w:rPr>
          <w:rFonts w:ascii="Tahoma" w:hAnsi="Tahoma" w:cs="Tahoma"/>
          <w:b/>
          <w:sz w:val="22"/>
          <w:szCs w:val="22"/>
        </w:rPr>
      </w:pPr>
      <w:r w:rsidRPr="0008008A">
        <w:rPr>
          <w:rFonts w:ascii="Tahoma" w:hAnsi="Tahoma" w:cs="Tahoma"/>
          <w:b/>
          <w:sz w:val="22"/>
          <w:szCs w:val="22"/>
        </w:rPr>
        <w:t xml:space="preserve">LA SALA RESUELVE: </w:t>
      </w:r>
    </w:p>
    <w:p w:rsidR="0008008A" w:rsidRPr="0008008A" w:rsidRDefault="0008008A" w:rsidP="0008008A">
      <w:pPr>
        <w:jc w:val="both"/>
        <w:rPr>
          <w:rFonts w:ascii="Tahoma" w:hAnsi="Tahoma" w:cs="Tahoma"/>
          <w:snapToGrid w:val="0"/>
          <w:sz w:val="22"/>
          <w:szCs w:val="22"/>
        </w:rPr>
      </w:pPr>
    </w:p>
    <w:p w:rsidR="0008008A" w:rsidRPr="0008008A" w:rsidRDefault="0008008A" w:rsidP="0008008A">
      <w:pPr>
        <w:pStyle w:val="Prrafodelista"/>
        <w:numPr>
          <w:ilvl w:val="0"/>
          <w:numId w:val="12"/>
        </w:numPr>
        <w:ind w:left="567" w:hanging="567"/>
        <w:contextualSpacing/>
        <w:jc w:val="both"/>
        <w:rPr>
          <w:rFonts w:ascii="Tahoma" w:hAnsi="Tahoma" w:cs="Tahoma"/>
          <w:sz w:val="22"/>
          <w:szCs w:val="22"/>
        </w:rPr>
      </w:pPr>
      <w:r w:rsidRPr="0008008A">
        <w:rPr>
          <w:rFonts w:ascii="Tahoma" w:hAnsi="Tahoma" w:cs="Tahoma"/>
          <w:sz w:val="22"/>
          <w:szCs w:val="22"/>
        </w:rPr>
        <w:t>Declarar no ha lugar la imposición de sanción contra AQUIJE TABOADA CHIRLY AIDA por su supuesta responsabilidad al no mantener su oferta hasta la suscripción del contrato, infracción tipificada en el literal a), del numeral 51.1 del artículo 51 de la Ley de Contrataciones del Estado.</w:t>
      </w:r>
    </w:p>
    <w:p w:rsidR="0008008A" w:rsidRPr="0008008A" w:rsidRDefault="0008008A" w:rsidP="0008008A">
      <w:pPr>
        <w:pStyle w:val="Prrafodelista"/>
        <w:ind w:left="426"/>
        <w:jc w:val="both"/>
        <w:rPr>
          <w:rFonts w:ascii="Tahoma" w:hAnsi="Tahoma" w:cs="Tahoma"/>
          <w:color w:val="000000" w:themeColor="text1"/>
          <w:sz w:val="22"/>
          <w:szCs w:val="22"/>
        </w:rPr>
      </w:pPr>
    </w:p>
    <w:p w:rsidR="0008008A" w:rsidRPr="0008008A" w:rsidRDefault="0008008A" w:rsidP="0008008A">
      <w:pPr>
        <w:pStyle w:val="Textoindependiente21"/>
        <w:ind w:firstLine="567"/>
        <w:rPr>
          <w:rFonts w:cs="Tahoma"/>
          <w:szCs w:val="22"/>
        </w:rPr>
      </w:pPr>
      <w:r w:rsidRPr="0008008A">
        <w:rPr>
          <w:rFonts w:cs="Tahoma"/>
          <w:szCs w:val="22"/>
        </w:rPr>
        <w:t>Regístrese, comuníquese y publíquese.</w:t>
      </w: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Default="0008008A" w:rsidP="0008008A">
      <w:pPr>
        <w:jc w:val="center"/>
        <w:rPr>
          <w:rFonts w:ascii="Tahoma" w:hAnsi="Tahoma" w:cs="Tahoma"/>
          <w:b/>
          <w:sz w:val="22"/>
          <w:szCs w:val="22"/>
        </w:rPr>
      </w:pPr>
    </w:p>
    <w:p w:rsid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z w:val="22"/>
          <w:szCs w:val="22"/>
        </w:rPr>
      </w:pPr>
    </w:p>
    <w:p w:rsidR="0008008A" w:rsidRPr="0008008A" w:rsidRDefault="0008008A" w:rsidP="0008008A">
      <w:pPr>
        <w:jc w:val="center"/>
        <w:rPr>
          <w:rFonts w:ascii="Tahoma" w:hAnsi="Tahoma" w:cs="Tahoma"/>
          <w:b/>
          <w:shadow/>
          <w:sz w:val="22"/>
          <w:szCs w:val="22"/>
          <w:lang w:val="pt-BR"/>
        </w:rPr>
      </w:pPr>
      <w:r w:rsidRPr="0008008A">
        <w:rPr>
          <w:rFonts w:ascii="Tahoma" w:hAnsi="Tahoma" w:cs="Tahoma"/>
          <w:b/>
          <w:shadow/>
          <w:sz w:val="22"/>
          <w:szCs w:val="22"/>
          <w:lang w:val="pt-BR"/>
        </w:rPr>
        <w:t>PRESIDENTE</w:t>
      </w:r>
    </w:p>
    <w:p w:rsidR="0008008A" w:rsidRPr="0008008A" w:rsidRDefault="0008008A" w:rsidP="0008008A">
      <w:pPr>
        <w:ind w:firstLine="708"/>
        <w:rPr>
          <w:rFonts w:ascii="Tahoma" w:hAnsi="Tahoma" w:cs="Tahoma"/>
          <w:b/>
          <w:shadow/>
          <w:sz w:val="22"/>
          <w:szCs w:val="22"/>
          <w:lang w:val="pt-BR"/>
        </w:rPr>
      </w:pPr>
      <w:r w:rsidRPr="0008008A">
        <w:rPr>
          <w:rFonts w:ascii="Tahoma" w:hAnsi="Tahoma" w:cs="Tahoma"/>
          <w:b/>
          <w:shadow/>
          <w:sz w:val="22"/>
          <w:szCs w:val="22"/>
          <w:lang w:val="pt-BR"/>
        </w:rPr>
        <w:tab/>
      </w:r>
      <w:r w:rsidRPr="0008008A">
        <w:rPr>
          <w:rFonts w:ascii="Tahoma" w:hAnsi="Tahoma" w:cs="Tahoma"/>
          <w:b/>
          <w:shadow/>
          <w:sz w:val="22"/>
          <w:szCs w:val="22"/>
          <w:lang w:val="pt-BR"/>
        </w:rPr>
        <w:tab/>
        <w:t xml:space="preserve">                                                                                VOCAL</w:t>
      </w:r>
    </w:p>
    <w:p w:rsidR="0008008A" w:rsidRPr="0008008A" w:rsidRDefault="0008008A" w:rsidP="0008008A">
      <w:pPr>
        <w:jc w:val="both"/>
        <w:rPr>
          <w:rFonts w:ascii="Tahoma" w:hAnsi="Tahoma" w:cs="Tahoma"/>
          <w:sz w:val="22"/>
          <w:szCs w:val="22"/>
          <w:lang w:val="pt-BR"/>
        </w:rPr>
      </w:pPr>
      <w:r w:rsidRPr="0008008A">
        <w:rPr>
          <w:rFonts w:ascii="Tahoma" w:hAnsi="Tahoma" w:cs="Tahoma"/>
          <w:sz w:val="22"/>
          <w:szCs w:val="22"/>
          <w:lang w:val="pt-BR"/>
        </w:rPr>
        <w:t>ss.</w:t>
      </w:r>
    </w:p>
    <w:p w:rsidR="0008008A" w:rsidRPr="0008008A" w:rsidRDefault="0008008A" w:rsidP="0008008A">
      <w:pPr>
        <w:pStyle w:val="Textoindependiente21"/>
        <w:tabs>
          <w:tab w:val="left" w:pos="5250"/>
        </w:tabs>
        <w:rPr>
          <w:rFonts w:cs="Tahoma"/>
          <w:szCs w:val="22"/>
          <w:lang w:val="pt-BR"/>
        </w:rPr>
      </w:pPr>
      <w:r w:rsidRPr="0008008A">
        <w:rPr>
          <w:rFonts w:cs="Tahoma"/>
          <w:szCs w:val="22"/>
          <w:lang w:val="pt-BR"/>
        </w:rPr>
        <w:t>Navas Rondón.</w:t>
      </w:r>
    </w:p>
    <w:p w:rsidR="0008008A" w:rsidRPr="0008008A" w:rsidRDefault="0008008A" w:rsidP="0008008A">
      <w:pPr>
        <w:pStyle w:val="Textoindependiente21"/>
        <w:rPr>
          <w:rFonts w:cs="Tahoma"/>
          <w:szCs w:val="22"/>
        </w:rPr>
      </w:pPr>
      <w:r w:rsidRPr="0008008A">
        <w:rPr>
          <w:rFonts w:cs="Tahoma"/>
          <w:szCs w:val="22"/>
        </w:rPr>
        <w:t>Basulto Liewald.</w:t>
      </w:r>
    </w:p>
    <w:p w:rsidR="0008008A" w:rsidRPr="0008008A" w:rsidRDefault="0008008A" w:rsidP="0008008A">
      <w:pPr>
        <w:rPr>
          <w:rFonts w:ascii="Tahoma" w:hAnsi="Tahoma" w:cs="Tahoma"/>
          <w:sz w:val="22"/>
          <w:szCs w:val="22"/>
        </w:rPr>
      </w:pPr>
    </w:p>
    <w:p w:rsidR="0008008A" w:rsidRPr="0008008A" w:rsidRDefault="0008008A" w:rsidP="0008008A">
      <w:pPr>
        <w:rPr>
          <w:rFonts w:ascii="Tahoma" w:hAnsi="Tahoma" w:cs="Tahoma"/>
          <w:sz w:val="22"/>
          <w:szCs w:val="22"/>
        </w:rPr>
      </w:pPr>
    </w:p>
    <w:p w:rsidR="0008008A" w:rsidRPr="0008008A" w:rsidRDefault="0008008A" w:rsidP="0008008A">
      <w:pPr>
        <w:rPr>
          <w:sz w:val="22"/>
          <w:szCs w:val="22"/>
        </w:rPr>
      </w:pPr>
    </w:p>
    <w:p w:rsidR="0008008A" w:rsidRPr="0008008A" w:rsidRDefault="0008008A" w:rsidP="0008008A">
      <w:pPr>
        <w:rPr>
          <w:sz w:val="22"/>
          <w:szCs w:val="22"/>
        </w:rPr>
      </w:pPr>
    </w:p>
    <w:p w:rsidR="0008008A" w:rsidRDefault="0008008A">
      <w:pPr>
        <w:spacing w:after="200" w:line="276" w:lineRule="auto"/>
        <w:rPr>
          <w:sz w:val="22"/>
          <w:szCs w:val="22"/>
        </w:rPr>
      </w:pPr>
      <w:r>
        <w:rPr>
          <w:sz w:val="22"/>
          <w:szCs w:val="22"/>
        </w:rPr>
        <w:br w:type="page"/>
      </w:r>
    </w:p>
    <w:p w:rsidR="0008008A" w:rsidRPr="004B1508" w:rsidRDefault="0008008A" w:rsidP="0008008A">
      <w:pPr>
        <w:jc w:val="center"/>
        <w:rPr>
          <w:rFonts w:ascii="Tahoma" w:hAnsi="Tahoma" w:cs="Tahoma"/>
          <w:b/>
          <w:sz w:val="22"/>
          <w:szCs w:val="22"/>
        </w:rPr>
      </w:pPr>
      <w:r w:rsidRPr="004B1508">
        <w:rPr>
          <w:rFonts w:ascii="Tahoma" w:hAnsi="Tahoma" w:cs="Tahoma"/>
          <w:b/>
          <w:sz w:val="22"/>
          <w:szCs w:val="22"/>
        </w:rPr>
        <w:lastRenderedPageBreak/>
        <w:t xml:space="preserve">VOTO EN DISCORDIA DE </w:t>
      </w:r>
      <w:smartTag w:uri="urn:schemas-microsoft-com:office:smarttags" w:element="PersonName">
        <w:smartTagPr>
          <w:attr w:name="ProductID" w:val="LA VOCAL DE"/>
        </w:smartTagPr>
        <w:r w:rsidRPr="004B1508">
          <w:rPr>
            <w:rFonts w:ascii="Tahoma" w:hAnsi="Tahoma" w:cs="Tahoma"/>
            <w:b/>
            <w:sz w:val="22"/>
            <w:szCs w:val="22"/>
          </w:rPr>
          <w:t>LA VOCAL DE</w:t>
        </w:r>
      </w:smartTag>
      <w:r w:rsidRPr="004B1508">
        <w:rPr>
          <w:rFonts w:ascii="Tahoma" w:hAnsi="Tahoma" w:cs="Tahoma"/>
          <w:b/>
          <w:sz w:val="22"/>
          <w:szCs w:val="22"/>
        </w:rPr>
        <w:t xml:space="preserve"> </w:t>
      </w:r>
      <w:smartTag w:uri="urn:schemas-microsoft-com:office:smarttags" w:element="PersonName">
        <w:smartTagPr>
          <w:attr w:name="ProductID" w:val="LA PRIMERA SALA"/>
        </w:smartTagPr>
        <w:r w:rsidRPr="004B1508">
          <w:rPr>
            <w:rFonts w:ascii="Tahoma" w:hAnsi="Tahoma" w:cs="Tahoma"/>
            <w:b/>
            <w:sz w:val="22"/>
            <w:szCs w:val="22"/>
          </w:rPr>
          <w:t>LA PRIMERA SALA</w:t>
        </w:r>
      </w:smartTag>
    </w:p>
    <w:p w:rsidR="0008008A" w:rsidRPr="004B1508" w:rsidRDefault="0008008A" w:rsidP="0008008A">
      <w:pPr>
        <w:jc w:val="center"/>
        <w:rPr>
          <w:rFonts w:ascii="Tahoma" w:hAnsi="Tahoma" w:cs="Tahoma"/>
          <w:b/>
          <w:sz w:val="22"/>
          <w:szCs w:val="22"/>
        </w:rPr>
      </w:pPr>
      <w:r w:rsidRPr="004B1508">
        <w:rPr>
          <w:rFonts w:ascii="Tahoma" w:hAnsi="Tahoma" w:cs="Tahoma"/>
          <w:b/>
          <w:sz w:val="22"/>
          <w:szCs w:val="22"/>
        </w:rPr>
        <w:t xml:space="preserve"> JANETTE ELKE RAMÍREZ MAYNETTO</w:t>
      </w:r>
    </w:p>
    <w:p w:rsidR="0008008A" w:rsidRPr="004B1508"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rPr>
      </w:pPr>
      <w:smartTag w:uri="urn:schemas-microsoft-com:office:smarttags" w:element="PersonName">
        <w:smartTagPr>
          <w:attr w:name="ProductID" w:val="La Vocal"/>
        </w:smartTagPr>
        <w:r w:rsidRPr="004B1508">
          <w:rPr>
            <w:rFonts w:ascii="Tahoma" w:hAnsi="Tahoma" w:cs="Tahoma"/>
            <w:sz w:val="22"/>
            <w:szCs w:val="22"/>
          </w:rPr>
          <w:t>La Vocal</w:t>
        </w:r>
      </w:smartTag>
      <w:r w:rsidRPr="004B1508">
        <w:rPr>
          <w:rFonts w:ascii="Tahoma" w:hAnsi="Tahoma" w:cs="Tahoma"/>
          <w:sz w:val="22"/>
          <w:szCs w:val="22"/>
        </w:rPr>
        <w:t xml:space="preserve"> que suscribe discrepa respetuosamente de la decisión de la mayoría,</w:t>
      </w:r>
      <w:r>
        <w:rPr>
          <w:rFonts w:ascii="Tahoma" w:hAnsi="Tahoma" w:cs="Tahoma"/>
          <w:sz w:val="22"/>
          <w:szCs w:val="22"/>
        </w:rPr>
        <w:t xml:space="preserve"> particularmente en lo expuesto en el considerando 5 y siguientes de la fundamentación, </w:t>
      </w:r>
      <w:r w:rsidRPr="004B1508">
        <w:rPr>
          <w:rFonts w:ascii="Tahoma" w:hAnsi="Tahoma" w:cs="Tahoma"/>
          <w:sz w:val="22"/>
          <w:szCs w:val="22"/>
        </w:rPr>
        <w:t xml:space="preserve"> sustentando el presente Voto en Discordia en las consideraciones que a continuación se detallan:</w:t>
      </w:r>
    </w:p>
    <w:p w:rsidR="0008008A" w:rsidRPr="004B1508" w:rsidRDefault="0008008A" w:rsidP="0008008A">
      <w:pPr>
        <w:pStyle w:val="Prrafodelista"/>
        <w:ind w:left="0"/>
        <w:contextualSpacing/>
        <w:jc w:val="both"/>
        <w:rPr>
          <w:rFonts w:ascii="Tahoma" w:hAnsi="Tahoma" w:cs="Tahoma"/>
          <w:b/>
          <w:sz w:val="22"/>
          <w:szCs w:val="22"/>
        </w:rPr>
      </w:pPr>
    </w:p>
    <w:p w:rsidR="0008008A" w:rsidRDefault="0008008A" w:rsidP="0008008A">
      <w:pPr>
        <w:jc w:val="both"/>
        <w:rPr>
          <w:rFonts w:ascii="Tahoma" w:hAnsi="Tahoma" w:cs="Tahoma"/>
          <w:sz w:val="22"/>
          <w:szCs w:val="22"/>
        </w:rPr>
      </w:pPr>
    </w:p>
    <w:p w:rsidR="0008008A" w:rsidRDefault="0008008A" w:rsidP="0008008A">
      <w:pPr>
        <w:numPr>
          <w:ilvl w:val="0"/>
          <w:numId w:val="14"/>
        </w:numPr>
        <w:jc w:val="both"/>
        <w:rPr>
          <w:rFonts w:ascii="Tahoma" w:hAnsi="Tahoma" w:cs="Tahoma"/>
          <w:sz w:val="22"/>
          <w:szCs w:val="22"/>
          <w:lang w:val="es-ES_tradnl"/>
        </w:rPr>
      </w:pPr>
      <w:r>
        <w:rPr>
          <w:rFonts w:ascii="Tahoma" w:hAnsi="Tahoma" w:cs="Tahoma"/>
          <w:sz w:val="22"/>
          <w:szCs w:val="22"/>
          <w:lang w:val="es-ES_tradnl"/>
        </w:rPr>
        <w:t>La infracción tipificada en el literal a) del numeral 51.1 del artículo 51 de la Ley señala que se impondrá sanción administrativa a los postores que no mantengan su oferta hasta el consentimiento de la Buena Pro o, de resultar ganadores hasta la suscripción del contrato, no suscriban injustificadamente el contrato, o no reciban injustificadamente la orden de compra o de servicio emitida a su favor.</w:t>
      </w:r>
    </w:p>
    <w:p w:rsidR="0008008A" w:rsidRDefault="0008008A" w:rsidP="0008008A">
      <w:pPr>
        <w:ind w:left="720"/>
        <w:jc w:val="both"/>
        <w:rPr>
          <w:rFonts w:ascii="Tahoma" w:hAnsi="Tahoma" w:cs="Tahoma"/>
          <w:sz w:val="22"/>
          <w:szCs w:val="22"/>
          <w:lang w:val="es-ES_tradnl"/>
        </w:rPr>
      </w:pPr>
    </w:p>
    <w:p w:rsidR="0008008A" w:rsidRDefault="0008008A" w:rsidP="0008008A">
      <w:pPr>
        <w:numPr>
          <w:ilvl w:val="0"/>
          <w:numId w:val="14"/>
        </w:numPr>
        <w:jc w:val="both"/>
        <w:rPr>
          <w:rFonts w:ascii="Tahoma" w:hAnsi="Tahoma" w:cs="Tahoma"/>
          <w:sz w:val="22"/>
          <w:szCs w:val="22"/>
          <w:lang w:val="es-ES_tradnl"/>
        </w:rPr>
      </w:pPr>
      <w:r>
        <w:rPr>
          <w:rFonts w:ascii="Tahoma" w:hAnsi="Tahoma" w:cs="Tahoma"/>
          <w:sz w:val="22"/>
          <w:szCs w:val="22"/>
          <w:lang w:val="es-ES_tradnl"/>
        </w:rPr>
        <w:t>E</w:t>
      </w:r>
      <w:r w:rsidRPr="006663F8">
        <w:rPr>
          <w:rFonts w:ascii="Tahoma" w:hAnsi="Tahoma" w:cs="Tahoma"/>
          <w:sz w:val="22"/>
          <w:szCs w:val="22"/>
          <w:lang w:val="es-ES_tradnl"/>
        </w:rPr>
        <w:t xml:space="preserve">ste Tribunal </w:t>
      </w:r>
      <w:r>
        <w:rPr>
          <w:rFonts w:ascii="Tahoma" w:hAnsi="Tahoma" w:cs="Tahoma"/>
          <w:sz w:val="22"/>
          <w:szCs w:val="22"/>
          <w:lang w:val="es-ES_tradnl"/>
        </w:rPr>
        <w:t>se ha pronunciado en anteriores oportunidades, señalando que la conducta del Postor que no mantiene su oferta</w:t>
      </w:r>
      <w:r w:rsidRPr="006663F8">
        <w:rPr>
          <w:rFonts w:ascii="Tahoma" w:hAnsi="Tahoma" w:cs="Tahoma"/>
          <w:sz w:val="22"/>
          <w:szCs w:val="22"/>
          <w:lang w:val="es-ES_tradnl"/>
        </w:rPr>
        <w:t xml:space="preserve"> exime a la Entidad de su obligación de </w:t>
      </w:r>
      <w:r>
        <w:rPr>
          <w:rFonts w:ascii="Tahoma" w:hAnsi="Tahoma" w:cs="Tahoma"/>
          <w:sz w:val="22"/>
          <w:szCs w:val="22"/>
          <w:lang w:val="es-ES_tradnl"/>
        </w:rPr>
        <w:t>observar</w:t>
      </w:r>
      <w:r w:rsidRPr="006663F8">
        <w:rPr>
          <w:rFonts w:ascii="Tahoma" w:hAnsi="Tahoma" w:cs="Tahoma"/>
          <w:sz w:val="22"/>
          <w:szCs w:val="22"/>
          <w:lang w:val="es-ES_tradnl"/>
        </w:rPr>
        <w:t xml:space="preserve"> el trámite formal de citación para la suscripción del contrato</w:t>
      </w:r>
      <w:r>
        <w:rPr>
          <w:rFonts w:ascii="Tahoma" w:hAnsi="Tahoma" w:cs="Tahoma"/>
          <w:sz w:val="22"/>
          <w:szCs w:val="22"/>
          <w:lang w:val="es-ES_tradnl"/>
        </w:rPr>
        <w:t>.  Ello en tanto se entiende que resulta innecesario que la Entidad siga una serie de formalidades, pese a la manifestación y conducta expresa del Postor.</w:t>
      </w:r>
    </w:p>
    <w:p w:rsidR="0008008A" w:rsidRDefault="0008008A" w:rsidP="0008008A">
      <w:pPr>
        <w:ind w:left="720"/>
        <w:jc w:val="both"/>
        <w:rPr>
          <w:rFonts w:ascii="Tahoma" w:hAnsi="Tahoma" w:cs="Tahoma"/>
          <w:sz w:val="22"/>
          <w:szCs w:val="22"/>
          <w:lang w:val="es-ES_tradnl"/>
        </w:rPr>
      </w:pPr>
    </w:p>
    <w:p w:rsidR="0008008A" w:rsidRDefault="0008008A" w:rsidP="0008008A">
      <w:pPr>
        <w:numPr>
          <w:ilvl w:val="0"/>
          <w:numId w:val="14"/>
        </w:numPr>
        <w:jc w:val="both"/>
        <w:rPr>
          <w:rFonts w:ascii="Tahoma" w:hAnsi="Tahoma" w:cs="Tahoma"/>
          <w:sz w:val="22"/>
          <w:szCs w:val="22"/>
          <w:lang w:val="es-ES_tradnl"/>
        </w:rPr>
      </w:pPr>
      <w:r>
        <w:rPr>
          <w:rFonts w:ascii="Tahoma" w:hAnsi="Tahoma" w:cs="Tahoma"/>
          <w:sz w:val="22"/>
          <w:szCs w:val="22"/>
          <w:lang w:val="es-ES_tradnl"/>
        </w:rPr>
        <w:t>A</w:t>
      </w:r>
      <w:r w:rsidRPr="00BE354A">
        <w:rPr>
          <w:rFonts w:ascii="Tahoma" w:hAnsi="Tahoma" w:cs="Tahoma"/>
          <w:sz w:val="22"/>
          <w:szCs w:val="22"/>
          <w:lang w:val="es-ES_tradnl"/>
        </w:rPr>
        <w:t xml:space="preserve">tendiendo a que en </w:t>
      </w:r>
      <w:r>
        <w:rPr>
          <w:rFonts w:ascii="Tahoma" w:hAnsi="Tahoma" w:cs="Tahoma"/>
          <w:sz w:val="22"/>
          <w:szCs w:val="22"/>
          <w:lang w:val="es-ES_tradnl"/>
        </w:rPr>
        <w:t xml:space="preserve">la Carta del 05 de julio de 2010, </w:t>
      </w:r>
      <w:r w:rsidRPr="00BE354A">
        <w:rPr>
          <w:rFonts w:ascii="Tahoma" w:hAnsi="Tahoma" w:cs="Tahoma"/>
          <w:sz w:val="22"/>
          <w:szCs w:val="22"/>
          <w:lang w:val="es-ES_tradnl"/>
        </w:rPr>
        <w:t>el Postor comunicó</w:t>
      </w:r>
      <w:r>
        <w:rPr>
          <w:rFonts w:ascii="Tahoma" w:hAnsi="Tahoma" w:cs="Tahoma"/>
          <w:sz w:val="22"/>
          <w:szCs w:val="22"/>
          <w:lang w:val="es-ES_tradnl"/>
        </w:rPr>
        <w:t xml:space="preserve"> a la Entidad</w:t>
      </w:r>
      <w:r w:rsidRPr="00BE354A">
        <w:rPr>
          <w:rFonts w:ascii="Tahoma" w:hAnsi="Tahoma" w:cs="Tahoma"/>
          <w:sz w:val="22"/>
          <w:szCs w:val="22"/>
          <w:lang w:val="es-ES_tradnl"/>
        </w:rPr>
        <w:t xml:space="preserve"> que se desiste de la buena pro otorgada a su favor, entendiéndose que dejó sin efecto su oferta; este Tribunal considera que se ha configurado la infracción imputada en su contra, debiendo evaluar si existen causas eximentes de responsabilidad administrativa.</w:t>
      </w:r>
    </w:p>
    <w:p w:rsidR="0008008A" w:rsidRDefault="0008008A" w:rsidP="0008008A">
      <w:pPr>
        <w:ind w:left="720"/>
        <w:jc w:val="both"/>
        <w:rPr>
          <w:rFonts w:ascii="Tahoma" w:hAnsi="Tahoma" w:cs="Tahoma"/>
          <w:sz w:val="22"/>
          <w:szCs w:val="22"/>
          <w:lang w:val="es-ES_tradnl"/>
        </w:rPr>
      </w:pPr>
    </w:p>
    <w:p w:rsidR="0008008A" w:rsidRDefault="0008008A" w:rsidP="0008008A">
      <w:pPr>
        <w:numPr>
          <w:ilvl w:val="0"/>
          <w:numId w:val="14"/>
        </w:numPr>
        <w:jc w:val="both"/>
        <w:rPr>
          <w:rFonts w:ascii="Tahoma" w:hAnsi="Tahoma" w:cs="Tahoma"/>
          <w:sz w:val="22"/>
          <w:szCs w:val="22"/>
        </w:rPr>
      </w:pPr>
      <w:r>
        <w:rPr>
          <w:rFonts w:ascii="Tahoma" w:hAnsi="Tahoma" w:cs="Tahoma"/>
          <w:sz w:val="22"/>
          <w:szCs w:val="22"/>
          <w:lang w:val="es-ES_tradnl"/>
        </w:rPr>
        <w:t>Cabe señalar en este punto que el Postor</w:t>
      </w:r>
      <w:r w:rsidRPr="00E922D8">
        <w:rPr>
          <w:rFonts w:ascii="Tahoma" w:hAnsi="Tahoma" w:cs="Tahoma"/>
          <w:sz w:val="22"/>
          <w:szCs w:val="22"/>
        </w:rPr>
        <w:t xml:space="preserve"> no se ha apersonado a la instancia, ni formulado</w:t>
      </w:r>
      <w:r>
        <w:rPr>
          <w:rFonts w:ascii="Tahoma" w:hAnsi="Tahoma" w:cs="Tahoma"/>
          <w:sz w:val="22"/>
          <w:szCs w:val="22"/>
        </w:rPr>
        <w:t xml:space="preserve"> </w:t>
      </w:r>
      <w:r w:rsidRPr="00E922D8">
        <w:rPr>
          <w:rFonts w:ascii="Tahoma" w:hAnsi="Tahoma" w:cs="Tahoma"/>
          <w:sz w:val="22"/>
          <w:szCs w:val="22"/>
        </w:rPr>
        <w:t>sus descargos a fin de desvirtuar la comisión de la infracción imputada.</w:t>
      </w:r>
    </w:p>
    <w:p w:rsidR="0008008A" w:rsidRDefault="0008008A" w:rsidP="0008008A">
      <w:pPr>
        <w:ind w:left="720"/>
        <w:jc w:val="both"/>
        <w:rPr>
          <w:rFonts w:ascii="Tahoma" w:hAnsi="Tahoma" w:cs="Tahoma"/>
          <w:sz w:val="22"/>
          <w:szCs w:val="22"/>
        </w:rPr>
      </w:pPr>
    </w:p>
    <w:p w:rsidR="0008008A" w:rsidRPr="00E83D5D" w:rsidRDefault="0008008A" w:rsidP="0008008A">
      <w:pPr>
        <w:ind w:left="720"/>
        <w:jc w:val="both"/>
        <w:rPr>
          <w:rFonts w:ascii="Tahoma" w:hAnsi="Tahoma" w:cs="Tahoma"/>
          <w:sz w:val="22"/>
          <w:szCs w:val="22"/>
        </w:rPr>
      </w:pPr>
      <w:r w:rsidRPr="00E83D5D">
        <w:rPr>
          <w:rFonts w:ascii="Tahoma" w:hAnsi="Tahoma" w:cs="Tahoma"/>
          <w:sz w:val="22"/>
          <w:szCs w:val="22"/>
        </w:rPr>
        <w:t xml:space="preserve">Sin embargo, no puede soslayarse que en </w:t>
      </w:r>
      <w:r>
        <w:rPr>
          <w:rFonts w:ascii="Tahoma" w:hAnsi="Tahoma" w:cs="Tahoma"/>
          <w:sz w:val="22"/>
          <w:szCs w:val="22"/>
        </w:rPr>
        <w:t xml:space="preserve">la Carta del 05 de julio de 2010, el Postor manifestó que </w:t>
      </w:r>
      <w:r>
        <w:rPr>
          <w:rFonts w:ascii="Tahoma" w:hAnsi="Tahoma" w:cs="Tahoma"/>
          <w:i/>
          <w:sz w:val="22"/>
          <w:szCs w:val="22"/>
        </w:rPr>
        <w:t>“(…) al digitar mi lance electrónico por equivocación puse un monto que no era, por ser un monto inferior inclusive al decremento mínimo así mismo cabe resaltar que la línea del speedy sufrió una avería, motivo por el cual no se pudo corregir el error es por esta razón que pido al Comité Especial acepte mi pedido de desistimiento de la buena pro”.</w:t>
      </w:r>
    </w:p>
    <w:p w:rsidR="0008008A" w:rsidRPr="00E83D5D" w:rsidRDefault="0008008A" w:rsidP="0008008A">
      <w:pPr>
        <w:ind w:left="720"/>
        <w:jc w:val="both"/>
        <w:rPr>
          <w:rFonts w:ascii="Tahoma" w:hAnsi="Tahoma" w:cs="Tahoma"/>
          <w:sz w:val="22"/>
          <w:szCs w:val="22"/>
        </w:rPr>
      </w:pPr>
    </w:p>
    <w:p w:rsidR="0008008A" w:rsidRDefault="0008008A" w:rsidP="0008008A">
      <w:pPr>
        <w:numPr>
          <w:ilvl w:val="0"/>
          <w:numId w:val="14"/>
        </w:numPr>
        <w:jc w:val="both"/>
        <w:rPr>
          <w:rFonts w:ascii="Tahoma" w:hAnsi="Tahoma" w:cs="Tahoma"/>
          <w:sz w:val="22"/>
          <w:szCs w:val="22"/>
        </w:rPr>
      </w:pPr>
      <w:r>
        <w:rPr>
          <w:rFonts w:ascii="Tahoma" w:hAnsi="Tahoma" w:cs="Tahoma"/>
          <w:sz w:val="22"/>
          <w:szCs w:val="22"/>
        </w:rPr>
        <w:t>No obstante, el Postor no acreditó lo alegado ni sustentó en qué forma el monto ofertado (S/. 140 000,00) le causa un perjuicio económico, de modo tal que se vislumbre que aquél obedeció a un error no atribuible a su parte.</w:t>
      </w:r>
    </w:p>
    <w:p w:rsidR="0008008A" w:rsidRDefault="0008008A" w:rsidP="0008008A">
      <w:pPr>
        <w:ind w:left="720"/>
        <w:jc w:val="both"/>
        <w:rPr>
          <w:rFonts w:ascii="Tahoma" w:hAnsi="Tahoma" w:cs="Tahoma"/>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lastRenderedPageBreak/>
        <w:t xml:space="preserve">Enfocados los hechos desde esta perspectiva, se concluye que el </w:t>
      </w:r>
      <w:r>
        <w:rPr>
          <w:rFonts w:ascii="Tahoma" w:hAnsi="Tahoma" w:cs="Tahoma"/>
          <w:sz w:val="22"/>
          <w:szCs w:val="22"/>
        </w:rPr>
        <w:t>Postor no mantuvo su oferta</w:t>
      </w:r>
      <w:r w:rsidRPr="00F62F57">
        <w:rPr>
          <w:rFonts w:ascii="Tahoma" w:hAnsi="Tahoma" w:cs="Tahoma"/>
          <w:sz w:val="22"/>
          <w:szCs w:val="22"/>
        </w:rPr>
        <w:t xml:space="preserve"> como se le ha imputado; razón por la cual le asiste responsabilidad en la infracción denunciada y en consecuencia, corresponde imponerle sanción administrativa</w:t>
      </w:r>
      <w:r>
        <w:rPr>
          <w:rFonts w:ascii="Tahoma" w:hAnsi="Tahoma" w:cs="Tahoma"/>
          <w:sz w:val="22"/>
          <w:szCs w:val="22"/>
        </w:rPr>
        <w:t>.</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t xml:space="preserve">En relación a la graduación de la sanción imponible, el artículo 51.2 de </w:t>
      </w:r>
      <w:smartTag w:uri="urn:schemas-microsoft-com:office:smarttags" w:element="PersonName">
        <w:smartTagPr>
          <w:attr w:name="ProductID" w:val="la Ley"/>
        </w:smartTagPr>
        <w:r w:rsidRPr="00F62F57">
          <w:rPr>
            <w:rFonts w:ascii="Tahoma" w:hAnsi="Tahoma" w:cs="Tahoma"/>
            <w:sz w:val="22"/>
            <w:szCs w:val="22"/>
          </w:rPr>
          <w:t>la Ley</w:t>
        </w:r>
      </w:smartTag>
      <w:r w:rsidRPr="00F62F57">
        <w:rPr>
          <w:rFonts w:ascii="Tahoma" w:hAnsi="Tahoma" w:cs="Tahoma"/>
          <w:sz w:val="22"/>
          <w:szCs w:val="22"/>
        </w:rPr>
        <w:t xml:space="preserve"> establece que los agentes privados de contratación que </w:t>
      </w:r>
      <w:r>
        <w:rPr>
          <w:rFonts w:ascii="Tahoma" w:hAnsi="Tahoma" w:cs="Tahoma"/>
          <w:sz w:val="22"/>
          <w:szCs w:val="22"/>
        </w:rPr>
        <w:t>no mantengan sus ofertas hasta la suscripción del contrato</w:t>
      </w:r>
      <w:r w:rsidRPr="00F62F57">
        <w:rPr>
          <w:rFonts w:ascii="Tahoma" w:hAnsi="Tahoma" w:cs="Tahoma"/>
          <w:sz w:val="22"/>
          <w:szCs w:val="22"/>
        </w:rPr>
        <w:t xml:space="preserve"> serán sancionados con inhabilitación temporal para contratar con el Estado por un período no menor de un (01) año ni mayor de tres (03) años.</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lang w:val="es-MX"/>
        </w:rPr>
        <w:t xml:space="preserve">A efectos de graduar la sanción a imponerse, deben aplicarse los criterios </w:t>
      </w:r>
      <w:r w:rsidRPr="00F62F57">
        <w:rPr>
          <w:rFonts w:ascii="Tahoma" w:hAnsi="Tahoma" w:cs="Tahoma"/>
          <w:sz w:val="22"/>
          <w:szCs w:val="22"/>
        </w:rPr>
        <w:t>para la determinación gradual de la sanción previstos en el artículo 245</w:t>
      </w:r>
      <w:r w:rsidRPr="00F62F57">
        <w:rPr>
          <w:rFonts w:ascii="Tahoma" w:hAnsi="Tahoma" w:cs="Tahoma"/>
          <w:sz w:val="22"/>
          <w:szCs w:val="22"/>
          <w:vertAlign w:val="superscript"/>
        </w:rPr>
        <w:footnoteReference w:id="3"/>
      </w:r>
      <w:r w:rsidRPr="00F62F57">
        <w:rPr>
          <w:rFonts w:ascii="Tahoma" w:hAnsi="Tahoma" w:cs="Tahoma"/>
          <w:sz w:val="22"/>
          <w:szCs w:val="22"/>
        </w:rPr>
        <w:t xml:space="preserve"> del Reglamento. </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t xml:space="preserve">Asimismo, debe tenerse en cuenta que de acuerdo al </w:t>
      </w:r>
      <w:r w:rsidRPr="00F62F57">
        <w:rPr>
          <w:rFonts w:ascii="Tahoma" w:hAnsi="Tahoma" w:cs="Tahoma"/>
          <w:i/>
          <w:sz w:val="22"/>
          <w:szCs w:val="22"/>
        </w:rPr>
        <w:t>Principio de Razonabilidad</w:t>
      </w:r>
      <w:r w:rsidRPr="00F62F57">
        <w:rPr>
          <w:rFonts w:ascii="Tahoma" w:hAnsi="Tahoma" w:cs="Tahoma"/>
          <w:sz w:val="22"/>
          <w:szCs w:val="22"/>
        </w:rPr>
        <w:t xml:space="preserve">, consagrado en el numeral 3 del artículo 230 de </w:t>
      </w:r>
      <w:smartTag w:uri="urn:schemas-microsoft-com:office:smarttags" w:element="PersonName">
        <w:smartTagPr>
          <w:attr w:name="ProductID" w:val="la Ley N"/>
        </w:smartTagPr>
        <w:r w:rsidRPr="00F62F57">
          <w:rPr>
            <w:rFonts w:ascii="Tahoma" w:hAnsi="Tahoma" w:cs="Tahoma"/>
            <w:sz w:val="22"/>
            <w:szCs w:val="22"/>
          </w:rPr>
          <w:t>la Ley N</w:t>
        </w:r>
      </w:smartTag>
      <w:r w:rsidRPr="00F62F57">
        <w:rPr>
          <w:rFonts w:ascii="Tahoma" w:hAnsi="Tahoma" w:cs="Tahoma"/>
          <w:sz w:val="22"/>
          <w:szCs w:val="22"/>
        </w:rPr>
        <w:t>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t>Bajo las premisas anotadas debe considerarse la naturaleza de la infracción que, en este caso, obedece a la falta de responsabilidad en el de</w:t>
      </w:r>
      <w:r>
        <w:rPr>
          <w:rFonts w:ascii="Tahoma" w:hAnsi="Tahoma" w:cs="Tahoma"/>
          <w:sz w:val="22"/>
          <w:szCs w:val="22"/>
        </w:rPr>
        <w:t>ber del Contratista de mantener su oferta</w:t>
      </w:r>
      <w:r w:rsidRPr="00F62F57">
        <w:rPr>
          <w:rFonts w:ascii="Tahoma" w:hAnsi="Tahoma" w:cs="Tahoma"/>
          <w:sz w:val="22"/>
          <w:szCs w:val="22"/>
        </w:rPr>
        <w:t>.</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lastRenderedPageBreak/>
        <w:t>Adicionalmente, en lo que atañe a la conducta procesal del infractor durante la sustanciación del presente procedimiento administrativo sancionador, es necesario tener presente que el Contratista</w:t>
      </w:r>
      <w:r>
        <w:rPr>
          <w:rFonts w:ascii="Tahoma" w:hAnsi="Tahoma" w:cs="Tahoma"/>
          <w:sz w:val="22"/>
          <w:szCs w:val="22"/>
        </w:rPr>
        <w:t xml:space="preserve"> no</w:t>
      </w:r>
      <w:r w:rsidRPr="00F62F57">
        <w:rPr>
          <w:rFonts w:ascii="Tahoma" w:hAnsi="Tahoma" w:cs="Tahoma"/>
          <w:sz w:val="22"/>
          <w:szCs w:val="22"/>
        </w:rPr>
        <w:t xml:space="preserve"> ha presentado </w:t>
      </w:r>
      <w:r>
        <w:rPr>
          <w:rFonts w:ascii="Tahoma" w:hAnsi="Tahoma" w:cs="Tahoma"/>
          <w:sz w:val="22"/>
          <w:szCs w:val="22"/>
        </w:rPr>
        <w:t>sus descargos</w:t>
      </w:r>
      <w:r w:rsidRPr="00F62F57">
        <w:rPr>
          <w:rFonts w:ascii="Tahoma" w:hAnsi="Tahoma" w:cs="Tahoma"/>
          <w:sz w:val="22"/>
          <w:szCs w:val="22"/>
        </w:rPr>
        <w:t>.</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t xml:space="preserve">En el mismo sentido, es necesario que este Tribunal preste atención al daño causado por el infractor.  En ese sentido, debe tenerse en cuenta que la infracción cometida reviste de una considerable gravedad en la medida que desde el momento en que se asumió un compromiso </w:t>
      </w:r>
      <w:r>
        <w:rPr>
          <w:rFonts w:ascii="Tahoma" w:hAnsi="Tahoma" w:cs="Tahoma"/>
          <w:sz w:val="22"/>
          <w:szCs w:val="22"/>
        </w:rPr>
        <w:t>respecto a la seriedad de lo ofertado.</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t xml:space="preserve">Por otro lado, no puede dejar de valorarse que el </w:t>
      </w:r>
      <w:r>
        <w:rPr>
          <w:rFonts w:ascii="Tahoma" w:hAnsi="Tahoma" w:cs="Tahoma"/>
          <w:sz w:val="22"/>
          <w:szCs w:val="22"/>
        </w:rPr>
        <w:t>Postor</w:t>
      </w:r>
      <w:r w:rsidRPr="00F62F57">
        <w:rPr>
          <w:rFonts w:ascii="Tahoma" w:hAnsi="Tahoma" w:cs="Tahoma"/>
          <w:sz w:val="22"/>
          <w:szCs w:val="22"/>
        </w:rPr>
        <w:t xml:space="preserve"> no cuenta con antecedentes de haber sido inhabilitado anteriormente para participar en procesos de selección y contratar con el Estado; así como </w:t>
      </w:r>
      <w:r>
        <w:rPr>
          <w:rFonts w:ascii="Tahoma" w:hAnsi="Tahoma" w:cs="Tahoma"/>
          <w:sz w:val="22"/>
          <w:szCs w:val="22"/>
        </w:rPr>
        <w:t>el valor referencial del proceso de selección, equivalente a S/. 185 500,00 Nuevos Soles.</w:t>
      </w:r>
    </w:p>
    <w:p w:rsidR="0008008A" w:rsidRPr="00F62F57" w:rsidRDefault="0008008A" w:rsidP="0008008A">
      <w:pPr>
        <w:ind w:left="720"/>
        <w:jc w:val="both"/>
        <w:rPr>
          <w:rFonts w:ascii="Tahoma" w:hAnsi="Tahoma" w:cs="Tahoma"/>
          <w:i/>
          <w:sz w:val="22"/>
          <w:szCs w:val="22"/>
        </w:rPr>
      </w:pPr>
    </w:p>
    <w:p w:rsidR="0008008A" w:rsidRPr="00F62F57" w:rsidRDefault="0008008A" w:rsidP="0008008A">
      <w:pPr>
        <w:numPr>
          <w:ilvl w:val="0"/>
          <w:numId w:val="14"/>
        </w:numPr>
        <w:jc w:val="both"/>
        <w:rPr>
          <w:rFonts w:ascii="Tahoma" w:hAnsi="Tahoma" w:cs="Tahoma"/>
          <w:i/>
          <w:sz w:val="22"/>
          <w:szCs w:val="22"/>
        </w:rPr>
      </w:pPr>
      <w:r w:rsidRPr="00F62F57">
        <w:rPr>
          <w:rFonts w:ascii="Tahoma" w:hAnsi="Tahoma" w:cs="Tahoma"/>
          <w:sz w:val="22"/>
          <w:szCs w:val="22"/>
        </w:rPr>
        <w:t xml:space="preserve">Consecuentemente, en virtud a los criterios expuestos y al amparo del artículo 245 del Reglamento aplicable, este Colegiado considera que corresponde imponer al Contratista la sanción mínima en casos </w:t>
      </w:r>
      <w:r>
        <w:rPr>
          <w:rFonts w:ascii="Tahoma" w:hAnsi="Tahoma" w:cs="Tahoma"/>
          <w:sz w:val="22"/>
          <w:szCs w:val="22"/>
        </w:rPr>
        <w:t>como el de autos</w:t>
      </w:r>
      <w:r w:rsidRPr="00F62F57">
        <w:rPr>
          <w:rFonts w:ascii="Tahoma" w:hAnsi="Tahoma" w:cs="Tahoma"/>
          <w:sz w:val="22"/>
          <w:szCs w:val="22"/>
        </w:rPr>
        <w:t>, equivalente a doce (12) meses de inhabilitación temporal para participar en procesos de selección y para contratar con el Estado.</w:t>
      </w:r>
    </w:p>
    <w:p w:rsidR="0008008A" w:rsidRPr="00E922D8" w:rsidRDefault="0008008A" w:rsidP="0008008A">
      <w:pPr>
        <w:jc w:val="both"/>
        <w:rPr>
          <w:rFonts w:ascii="Tahoma" w:hAnsi="Tahoma" w:cs="Tahoma"/>
          <w:sz w:val="22"/>
          <w:szCs w:val="22"/>
        </w:rPr>
      </w:pPr>
    </w:p>
    <w:p w:rsidR="0008008A" w:rsidRPr="00EA4DC6" w:rsidRDefault="0008008A" w:rsidP="0008008A">
      <w:pPr>
        <w:jc w:val="both"/>
        <w:rPr>
          <w:rFonts w:ascii="Tahoma" w:hAnsi="Tahoma" w:cs="Tahoma"/>
          <w:sz w:val="22"/>
          <w:szCs w:val="22"/>
          <w:lang w:val="es-ES_tradnl"/>
        </w:rPr>
      </w:pPr>
    </w:p>
    <w:p w:rsidR="0008008A" w:rsidRPr="004B1508" w:rsidRDefault="0008008A" w:rsidP="0008008A">
      <w:pPr>
        <w:jc w:val="both"/>
        <w:rPr>
          <w:rFonts w:ascii="Tahoma" w:hAnsi="Tahoma" w:cs="Tahoma"/>
          <w:sz w:val="22"/>
          <w:szCs w:val="22"/>
        </w:rPr>
      </w:pPr>
      <w:r w:rsidRPr="004B1508">
        <w:rPr>
          <w:rFonts w:ascii="Tahoma" w:hAnsi="Tahoma" w:cs="Tahoma"/>
          <w:sz w:val="22"/>
          <w:szCs w:val="22"/>
        </w:rPr>
        <w:t xml:space="preserve">Atendiendo a lo expuesto, </w:t>
      </w:r>
      <w:smartTag w:uri="urn:schemas-microsoft-com:office:smarttags" w:element="PersonName">
        <w:smartTagPr>
          <w:attr w:name="ProductID" w:val="La Vocal"/>
        </w:smartTagPr>
        <w:r w:rsidRPr="004B1508">
          <w:rPr>
            <w:rFonts w:ascii="Tahoma" w:hAnsi="Tahoma" w:cs="Tahoma"/>
            <w:sz w:val="22"/>
            <w:szCs w:val="22"/>
          </w:rPr>
          <w:t>la Vocal</w:t>
        </w:r>
      </w:smartTag>
      <w:r w:rsidRPr="004B1508">
        <w:rPr>
          <w:rFonts w:ascii="Tahoma" w:hAnsi="Tahoma" w:cs="Tahoma"/>
          <w:sz w:val="22"/>
          <w:szCs w:val="22"/>
        </w:rPr>
        <w:t xml:space="preserve"> que suscribe es de la siguiente opinión: </w:t>
      </w:r>
    </w:p>
    <w:p w:rsidR="0008008A" w:rsidRPr="004B1508" w:rsidRDefault="0008008A" w:rsidP="0008008A">
      <w:pPr>
        <w:rPr>
          <w:rFonts w:ascii="Tahoma" w:hAnsi="Tahoma" w:cs="Tahoma"/>
          <w:b/>
          <w:bCs/>
          <w:sz w:val="22"/>
          <w:szCs w:val="22"/>
        </w:rPr>
      </w:pPr>
    </w:p>
    <w:p w:rsidR="0008008A" w:rsidRPr="007B3781" w:rsidRDefault="0008008A" w:rsidP="0008008A">
      <w:pPr>
        <w:numPr>
          <w:ilvl w:val="0"/>
          <w:numId w:val="15"/>
        </w:numPr>
        <w:jc w:val="both"/>
        <w:rPr>
          <w:rFonts w:ascii="Tahoma" w:hAnsi="Tahoma" w:cs="Tahoma"/>
          <w:sz w:val="22"/>
          <w:szCs w:val="22"/>
        </w:rPr>
      </w:pPr>
      <w:r w:rsidRPr="007B3781">
        <w:rPr>
          <w:rFonts w:ascii="Tahoma" w:hAnsi="Tahoma" w:cs="Tahoma"/>
          <w:sz w:val="22"/>
          <w:szCs w:val="22"/>
        </w:rPr>
        <w:t xml:space="preserve">Imponer </w:t>
      </w:r>
      <w:r>
        <w:rPr>
          <w:rFonts w:ascii="Tahoma" w:hAnsi="Tahoma" w:cs="Tahoma"/>
          <w:sz w:val="22"/>
          <w:szCs w:val="22"/>
        </w:rPr>
        <w:t>a la señora Chirly Aida Aquije Taboada</w:t>
      </w:r>
      <w:r w:rsidRPr="007B3781">
        <w:rPr>
          <w:rFonts w:ascii="Tahoma" w:hAnsi="Tahoma" w:cs="Tahoma"/>
          <w:sz w:val="22"/>
          <w:szCs w:val="22"/>
        </w:rPr>
        <w:t xml:space="preserve"> la sanción administrativa de inhabilitación temporal por el periodo de doce (12) meses en sus derechos de participar en procesos de selección y contratar con el Estado, por haber dado lugar a la resolución del contrato por causal atribuible a su parte, infracción tipificada en el literal </w:t>
      </w:r>
      <w:r>
        <w:rPr>
          <w:rFonts w:ascii="Tahoma" w:hAnsi="Tahoma" w:cs="Tahoma"/>
          <w:sz w:val="22"/>
          <w:szCs w:val="22"/>
        </w:rPr>
        <w:t>a</w:t>
      </w:r>
      <w:r w:rsidRPr="007B3781">
        <w:rPr>
          <w:rFonts w:ascii="Tahoma" w:hAnsi="Tahoma" w:cs="Tahoma"/>
          <w:sz w:val="22"/>
          <w:szCs w:val="22"/>
        </w:rPr>
        <w:t xml:space="preserve">) del numeral 51.1 del artículo 51 del Decreto Legislativo Nº 1017, la cual entrará en vigencia a partir del sexto día hábil siguiente de notificada la presente Resolución. </w:t>
      </w:r>
    </w:p>
    <w:p w:rsidR="0008008A" w:rsidRPr="007B3781" w:rsidRDefault="0008008A" w:rsidP="0008008A">
      <w:pPr>
        <w:jc w:val="both"/>
        <w:rPr>
          <w:rFonts w:ascii="Tahoma" w:hAnsi="Tahoma" w:cs="Tahoma"/>
          <w:sz w:val="22"/>
          <w:szCs w:val="22"/>
        </w:rPr>
      </w:pPr>
    </w:p>
    <w:p w:rsidR="0008008A" w:rsidRPr="007B3781" w:rsidRDefault="0008008A" w:rsidP="0008008A">
      <w:pPr>
        <w:numPr>
          <w:ilvl w:val="0"/>
          <w:numId w:val="15"/>
        </w:numPr>
        <w:jc w:val="both"/>
        <w:rPr>
          <w:rFonts w:ascii="Tahoma" w:hAnsi="Tahoma" w:cs="Tahoma"/>
          <w:sz w:val="22"/>
          <w:szCs w:val="22"/>
        </w:rPr>
      </w:pPr>
      <w:r w:rsidRPr="007B3781">
        <w:rPr>
          <w:rFonts w:ascii="Tahoma" w:hAnsi="Tahoma" w:cs="Tahoma"/>
          <w:sz w:val="22"/>
          <w:szCs w:val="22"/>
        </w:rPr>
        <w:t>Poner la presente Resolución en conocimiento del Registro Nacional de Proveedores del Organismo Supervisor de las Contrataciones del Estado (OSCE), para las anotaciones de Ley.</w:t>
      </w:r>
    </w:p>
    <w:p w:rsidR="0008008A" w:rsidRPr="007B3781"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rPr>
      </w:pPr>
    </w:p>
    <w:p w:rsidR="0008008A" w:rsidRPr="004B1508" w:rsidRDefault="0008008A" w:rsidP="0008008A">
      <w:pPr>
        <w:jc w:val="both"/>
        <w:rPr>
          <w:rFonts w:ascii="Tahoma" w:hAnsi="Tahoma" w:cs="Tahoma"/>
          <w:sz w:val="22"/>
          <w:szCs w:val="22"/>
          <w:lang w:val="es-ES_tradnl"/>
        </w:rPr>
      </w:pPr>
    </w:p>
    <w:p w:rsidR="0008008A" w:rsidRPr="004B1508" w:rsidRDefault="0008008A" w:rsidP="0008008A">
      <w:pPr>
        <w:jc w:val="center"/>
        <w:rPr>
          <w:rFonts w:ascii="Tahoma" w:hAnsi="Tahoma" w:cs="Tahoma"/>
          <w:b/>
          <w:sz w:val="22"/>
          <w:szCs w:val="22"/>
          <w:lang w:val="es-ES_tradnl"/>
        </w:rPr>
      </w:pPr>
      <w:r w:rsidRPr="004B1508">
        <w:rPr>
          <w:rFonts w:ascii="Tahoma" w:hAnsi="Tahoma" w:cs="Tahoma"/>
          <w:b/>
          <w:sz w:val="22"/>
          <w:szCs w:val="22"/>
          <w:lang w:val="es-ES_tradnl"/>
        </w:rPr>
        <w:t>JANETTE RAMIREZ MAYNETTO</w:t>
      </w:r>
    </w:p>
    <w:p w:rsidR="0008008A" w:rsidRPr="004B1508" w:rsidRDefault="0008008A" w:rsidP="0008008A">
      <w:pPr>
        <w:jc w:val="center"/>
        <w:rPr>
          <w:rFonts w:ascii="Tahoma" w:hAnsi="Tahoma" w:cs="Tahoma"/>
          <w:b/>
          <w:sz w:val="22"/>
          <w:szCs w:val="22"/>
        </w:rPr>
      </w:pPr>
      <w:r w:rsidRPr="004B1508">
        <w:rPr>
          <w:rFonts w:ascii="Tahoma" w:hAnsi="Tahoma" w:cs="Tahoma"/>
          <w:b/>
          <w:sz w:val="22"/>
          <w:szCs w:val="22"/>
          <w:lang w:val="es-ES_tradnl"/>
        </w:rPr>
        <w:t xml:space="preserve">Vocal de </w:t>
      </w:r>
      <w:smartTag w:uri="urn:schemas-microsoft-com:office:smarttags" w:element="PersonName">
        <w:smartTagPr>
          <w:attr w:name="ProductID" w:val="LA PRIMERA SALA"/>
        </w:smartTagPr>
        <w:r w:rsidRPr="004B1508">
          <w:rPr>
            <w:rFonts w:ascii="Tahoma" w:hAnsi="Tahoma" w:cs="Tahoma"/>
            <w:b/>
            <w:sz w:val="22"/>
            <w:szCs w:val="22"/>
            <w:lang w:val="es-ES_tradnl"/>
          </w:rPr>
          <w:t>la Primera Sala</w:t>
        </w:r>
      </w:smartTag>
      <w:r w:rsidRPr="004B1508">
        <w:rPr>
          <w:rFonts w:ascii="Tahoma" w:hAnsi="Tahoma" w:cs="Tahoma"/>
          <w:b/>
          <w:sz w:val="22"/>
          <w:szCs w:val="22"/>
          <w:lang w:val="es-ES_tradnl"/>
        </w:rPr>
        <w:t xml:space="preserve"> del Tribunal</w:t>
      </w:r>
    </w:p>
    <w:p w:rsidR="0008008A" w:rsidRPr="004B1508" w:rsidRDefault="0008008A" w:rsidP="0008008A">
      <w:pPr>
        <w:rPr>
          <w:rFonts w:ascii="Tahoma" w:hAnsi="Tahoma" w:cs="Tahoma"/>
          <w:sz w:val="22"/>
          <w:szCs w:val="22"/>
        </w:rPr>
      </w:pPr>
    </w:p>
    <w:p w:rsidR="008B738B" w:rsidRPr="0008008A" w:rsidRDefault="00D4086F">
      <w:pPr>
        <w:rPr>
          <w:sz w:val="22"/>
          <w:szCs w:val="22"/>
        </w:rPr>
      </w:pPr>
    </w:p>
    <w:sectPr w:rsidR="008B738B" w:rsidRPr="0008008A" w:rsidSect="00864326">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86F" w:rsidRDefault="00D4086F" w:rsidP="0008008A">
      <w:r>
        <w:separator/>
      </w:r>
    </w:p>
  </w:endnote>
  <w:endnote w:type="continuationSeparator" w:id="1">
    <w:p w:rsidR="00D4086F" w:rsidRDefault="00D4086F" w:rsidP="0008008A">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65"/>
      <w:docPartObj>
        <w:docPartGallery w:val="Page Numbers (Bottom of Page)"/>
        <w:docPartUnique/>
      </w:docPartObj>
    </w:sdtPr>
    <w:sdtContent>
      <w:sdt>
        <w:sdtPr>
          <w:id w:val="216747541"/>
          <w:docPartObj>
            <w:docPartGallery w:val="Page Numbers (Top of Page)"/>
            <w:docPartUnique/>
          </w:docPartObj>
        </w:sdtPr>
        <w:sdtContent>
          <w:p w:rsidR="00864326" w:rsidRDefault="00660D5D">
            <w:pPr>
              <w:pStyle w:val="Piedepgina"/>
              <w:jc w:val="center"/>
            </w:pPr>
            <w:r>
              <w:t xml:space="preserve">Página </w:t>
            </w:r>
            <w:r w:rsidR="00E075BA">
              <w:rPr>
                <w:b/>
              </w:rPr>
              <w:fldChar w:fldCharType="begin"/>
            </w:r>
            <w:r>
              <w:rPr>
                <w:b/>
              </w:rPr>
              <w:instrText>PAGE</w:instrText>
            </w:r>
            <w:r w:rsidR="00E075BA">
              <w:rPr>
                <w:b/>
              </w:rPr>
              <w:fldChar w:fldCharType="separate"/>
            </w:r>
            <w:r w:rsidR="007D7BD4">
              <w:rPr>
                <w:b/>
                <w:noProof/>
              </w:rPr>
              <w:t>1</w:t>
            </w:r>
            <w:r w:rsidR="00E075BA">
              <w:rPr>
                <w:b/>
              </w:rPr>
              <w:fldChar w:fldCharType="end"/>
            </w:r>
            <w:r>
              <w:t xml:space="preserve"> de </w:t>
            </w:r>
            <w:r w:rsidR="00E075BA">
              <w:rPr>
                <w:b/>
              </w:rPr>
              <w:fldChar w:fldCharType="begin"/>
            </w:r>
            <w:r>
              <w:rPr>
                <w:b/>
              </w:rPr>
              <w:instrText>NUMPAGES</w:instrText>
            </w:r>
            <w:r w:rsidR="00E075BA">
              <w:rPr>
                <w:b/>
              </w:rPr>
              <w:fldChar w:fldCharType="separate"/>
            </w:r>
            <w:r w:rsidR="007D7BD4">
              <w:rPr>
                <w:b/>
                <w:noProof/>
              </w:rPr>
              <w:t>9</w:t>
            </w:r>
            <w:r w:rsidR="00E075BA">
              <w:rPr>
                <w:b/>
              </w:rPr>
              <w:fldChar w:fldCharType="end"/>
            </w:r>
          </w:p>
        </w:sdtContent>
      </w:sdt>
    </w:sdtContent>
  </w:sdt>
  <w:p w:rsidR="00864326" w:rsidRDefault="00D4086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86F" w:rsidRDefault="00D4086F" w:rsidP="0008008A">
      <w:r>
        <w:separator/>
      </w:r>
    </w:p>
  </w:footnote>
  <w:footnote w:type="continuationSeparator" w:id="1">
    <w:p w:rsidR="00D4086F" w:rsidRDefault="00D4086F" w:rsidP="0008008A">
      <w:r>
        <w:continuationSeparator/>
      </w:r>
    </w:p>
  </w:footnote>
  <w:footnote w:id="2">
    <w:p w:rsidR="0008008A" w:rsidRDefault="0008008A" w:rsidP="0008008A">
      <w:pPr>
        <w:pStyle w:val="Textonotapie"/>
        <w:jc w:val="both"/>
        <w:rPr>
          <w:rFonts w:ascii="Tahoma" w:hAnsi="Tahoma" w:cs="Tahoma"/>
          <w:sz w:val="18"/>
          <w:szCs w:val="18"/>
        </w:rPr>
      </w:pPr>
      <w:r w:rsidRPr="00450E9C">
        <w:rPr>
          <w:rStyle w:val="Refdenotaalpie"/>
          <w:rFonts w:ascii="Tahoma" w:hAnsi="Tahoma" w:cs="Tahoma"/>
          <w:sz w:val="18"/>
          <w:szCs w:val="18"/>
        </w:rPr>
        <w:footnoteRef/>
      </w:r>
      <w:r w:rsidRPr="00450E9C">
        <w:rPr>
          <w:rFonts w:ascii="Tahoma" w:hAnsi="Tahoma" w:cs="Tahoma"/>
          <w:sz w:val="18"/>
          <w:szCs w:val="18"/>
        </w:rPr>
        <w:t xml:space="preserve"> Do</w:t>
      </w:r>
      <w:r>
        <w:rPr>
          <w:rFonts w:ascii="Tahoma" w:hAnsi="Tahoma" w:cs="Tahoma"/>
          <w:sz w:val="18"/>
          <w:szCs w:val="18"/>
        </w:rPr>
        <w:t>cumento obrante a fojas 0008 del presente expediente</w:t>
      </w:r>
      <w:r w:rsidRPr="00450E9C">
        <w:rPr>
          <w:rFonts w:ascii="Tahoma" w:hAnsi="Tahoma" w:cs="Tahoma"/>
          <w:sz w:val="18"/>
          <w:szCs w:val="18"/>
        </w:rPr>
        <w:t>.</w:t>
      </w:r>
    </w:p>
    <w:p w:rsidR="0008008A" w:rsidRPr="00450E9C" w:rsidRDefault="0008008A" w:rsidP="0008008A">
      <w:pPr>
        <w:pStyle w:val="Textonotapie"/>
        <w:jc w:val="both"/>
        <w:rPr>
          <w:rFonts w:ascii="Tahoma" w:hAnsi="Tahoma" w:cs="Tahoma"/>
          <w:i/>
          <w:sz w:val="18"/>
          <w:szCs w:val="18"/>
        </w:rPr>
      </w:pPr>
    </w:p>
  </w:footnote>
  <w:footnote w:id="3">
    <w:p w:rsidR="0008008A" w:rsidRPr="00600C3F" w:rsidRDefault="0008008A" w:rsidP="0008008A">
      <w:pPr>
        <w:pStyle w:val="Textonotapie"/>
        <w:ind w:left="142" w:hanging="142"/>
        <w:rPr>
          <w:b/>
          <w:i/>
          <w:sz w:val="18"/>
          <w:szCs w:val="18"/>
          <w:lang w:val="es-ES_tradnl"/>
        </w:rPr>
      </w:pPr>
      <w:r w:rsidRPr="00600C3F">
        <w:rPr>
          <w:rStyle w:val="Refdenotaalpie"/>
          <w:i/>
          <w:sz w:val="18"/>
          <w:szCs w:val="18"/>
        </w:rPr>
        <w:footnoteRef/>
      </w:r>
      <w:r w:rsidRPr="00600C3F">
        <w:rPr>
          <w:b/>
          <w:i/>
          <w:sz w:val="18"/>
          <w:szCs w:val="18"/>
        </w:rPr>
        <w:t xml:space="preserve"> </w:t>
      </w:r>
      <w:r w:rsidRPr="00600C3F">
        <w:rPr>
          <w:b/>
          <w:i/>
          <w:sz w:val="18"/>
          <w:szCs w:val="18"/>
          <w:lang w:val="es-ES_tradnl"/>
        </w:rPr>
        <w:t>Artículo 245.- Determinación gradual de la sanción.-</w:t>
      </w:r>
    </w:p>
    <w:p w:rsidR="0008008A" w:rsidRPr="00600C3F" w:rsidRDefault="0008008A" w:rsidP="0008008A">
      <w:pPr>
        <w:pStyle w:val="Textonotapie"/>
        <w:ind w:left="142"/>
        <w:rPr>
          <w:i/>
          <w:sz w:val="18"/>
          <w:szCs w:val="18"/>
          <w:lang w:val="es-ES_tradnl"/>
        </w:rPr>
      </w:pPr>
      <w:r w:rsidRPr="00600C3F">
        <w:rPr>
          <w:i/>
          <w:sz w:val="18"/>
          <w:szCs w:val="18"/>
          <w:lang w:val="es-ES_tradnl"/>
        </w:rPr>
        <w:t>Para graduar la sanción de inhabilitación temporal a imponerse conforme a las disposiciones del presente Título, el Tribunal considerará los siguientes criterios:</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Naturaleza de la infracción.</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Intencionalidad del infractor.</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Daño causado.</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Reiterancia.</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El reconocimiento de la infracción cometida antes de que sea detectada.</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Circunstancias de tiempo, lugar y modo.</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Condiciones del infractor.</w:t>
      </w:r>
    </w:p>
    <w:p w:rsidR="0008008A" w:rsidRPr="00600C3F" w:rsidRDefault="0008008A" w:rsidP="0008008A">
      <w:pPr>
        <w:pStyle w:val="Textonotapie"/>
        <w:numPr>
          <w:ilvl w:val="0"/>
          <w:numId w:val="13"/>
        </w:numPr>
        <w:tabs>
          <w:tab w:val="clear" w:pos="720"/>
          <w:tab w:val="num" w:pos="284"/>
        </w:tabs>
        <w:ind w:left="284" w:firstLine="0"/>
        <w:jc w:val="both"/>
        <w:rPr>
          <w:i/>
          <w:sz w:val="18"/>
          <w:szCs w:val="18"/>
          <w:lang w:val="es-ES_tradnl"/>
        </w:rPr>
      </w:pPr>
      <w:r w:rsidRPr="00600C3F">
        <w:rPr>
          <w:i/>
          <w:sz w:val="18"/>
          <w:szCs w:val="18"/>
          <w:lang w:val="es-ES_tradnl"/>
        </w:rPr>
        <w:t>Conducta procesal del infractor.</w:t>
      </w:r>
    </w:p>
    <w:p w:rsidR="0008008A" w:rsidRPr="00600C3F" w:rsidRDefault="0008008A" w:rsidP="0008008A">
      <w:pPr>
        <w:pStyle w:val="Textonotapie"/>
        <w:ind w:left="142" w:hanging="142"/>
        <w:rPr>
          <w:i/>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BD4" w:rsidRDefault="007D7BD4" w:rsidP="007D7BD4">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7D7BD4" w:rsidRDefault="007D7BD4" w:rsidP="007D7BD4">
    <w:pPr>
      <w:pStyle w:val="Encabezado"/>
      <w:rPr>
        <w:noProof/>
      </w:rPr>
    </w:pPr>
  </w:p>
  <w:p w:rsidR="007D7BD4" w:rsidRDefault="007D7BD4" w:rsidP="007D7BD4">
    <w:pPr>
      <w:pStyle w:val="Encabezado"/>
      <w:jc w:val="center"/>
      <w:rPr>
        <w:rFonts w:ascii="Monotype Corsiva" w:hAnsi="Monotype Corsiva"/>
        <w:b/>
        <w:sz w:val="44"/>
        <w:szCs w:val="44"/>
      </w:rPr>
    </w:pPr>
  </w:p>
  <w:p w:rsidR="007D7BD4" w:rsidRDefault="007D7BD4" w:rsidP="007D7BD4">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1336-2011-TC-S1</w:t>
    </w:r>
  </w:p>
  <w:p w:rsidR="007D7BD4" w:rsidRDefault="007D7BD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3A84108"/>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21C66003"/>
    <w:multiLevelType w:val="hybridMultilevel"/>
    <w:tmpl w:val="B9AA439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60265F1"/>
    <w:multiLevelType w:val="hybridMultilevel"/>
    <w:tmpl w:val="D25C9B6A"/>
    <w:lvl w:ilvl="0" w:tplc="29585AD4">
      <w:start w:val="3"/>
      <w:numFmt w:val="decimal"/>
      <w:lvlText w:val="%1."/>
      <w:lvlJc w:val="left"/>
      <w:pPr>
        <w:ind w:left="1287" w:hanging="360"/>
      </w:pPr>
      <w:rPr>
        <w:rFonts w:hint="default"/>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268C0B2E"/>
    <w:multiLevelType w:val="hybridMultilevel"/>
    <w:tmpl w:val="100E46B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3B2B32E0"/>
    <w:multiLevelType w:val="multilevel"/>
    <w:tmpl w:val="1794FE06"/>
    <w:lvl w:ilvl="0">
      <w:start w:val="1"/>
      <w:numFmt w:val="decimal"/>
      <w:lvlText w:val="%1."/>
      <w:lvlJc w:val="left"/>
      <w:pPr>
        <w:tabs>
          <w:tab w:val="num" w:pos="567"/>
        </w:tabs>
        <w:ind w:left="567" w:hanging="567"/>
      </w:pPr>
      <w:rPr>
        <w:rFonts w:ascii="Tahoma" w:hAnsi="Tahoma" w:cs="Tahoma" w:hint="default"/>
        <w:b w:val="0"/>
        <w:i w:val="0"/>
        <w:shadow w:val="0"/>
        <w:emboss w:val="0"/>
        <w:imprint w:val="0"/>
        <w:color w:val="auto"/>
        <w:sz w:val="22"/>
        <w:szCs w:val="22"/>
        <w:u w:color="FFFFFF"/>
        <w:effect w:val="none"/>
        <w:lang w:val="pt-BR"/>
      </w:rPr>
    </w:lvl>
    <w:lvl w:ilvl="1">
      <w:start w:val="1"/>
      <w:numFmt w:val="decimal"/>
      <w:isLgl/>
      <w:lvlText w:val="%1.%2."/>
      <w:lvlJc w:val="left"/>
      <w:pPr>
        <w:ind w:left="1287" w:hanging="720"/>
      </w:pPr>
      <w:rPr>
        <w:rFonts w:hint="default"/>
        <w:b w:val="0"/>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7">
    <w:nsid w:val="4CFD5523"/>
    <w:multiLevelType w:val="hybridMultilevel"/>
    <w:tmpl w:val="BFACB218"/>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531F1534"/>
    <w:multiLevelType w:val="hybridMultilevel"/>
    <w:tmpl w:val="4D063B3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DAE38BE"/>
    <w:multiLevelType w:val="hybridMultilevel"/>
    <w:tmpl w:val="02B2C874"/>
    <w:lvl w:ilvl="0" w:tplc="BDB686FE">
      <w:start w:val="1"/>
      <w:numFmt w:val="decimal"/>
      <w:lvlText w:val="%1."/>
      <w:lvlJc w:val="left"/>
      <w:pPr>
        <w:tabs>
          <w:tab w:val="num" w:pos="567"/>
        </w:tabs>
        <w:ind w:left="567" w:hanging="567"/>
      </w:pPr>
      <w:rPr>
        <w:rFonts w:ascii="Tahoma" w:hAnsi="Tahoma" w:cs="Tahoma" w:hint="default"/>
        <w:b w:val="0"/>
        <w:i w:val="0"/>
        <w:shadow w:val="0"/>
        <w:emboss w:val="0"/>
        <w:imprint w:val="0"/>
        <w:color w:val="auto"/>
        <w:sz w:val="22"/>
        <w:szCs w:val="22"/>
        <w:u w:color="FFFFFF"/>
        <w:effect w:val="none"/>
        <w:lang w:val="pt-BR"/>
      </w:rPr>
    </w:lvl>
    <w:lvl w:ilvl="1" w:tplc="A40866B2">
      <w:numFmt w:val="none"/>
      <w:lvlText w:val=""/>
      <w:lvlJc w:val="left"/>
      <w:pPr>
        <w:tabs>
          <w:tab w:val="num" w:pos="360"/>
        </w:tabs>
      </w:pPr>
    </w:lvl>
    <w:lvl w:ilvl="2" w:tplc="1C5A215C">
      <w:numFmt w:val="none"/>
      <w:lvlText w:val=""/>
      <w:lvlJc w:val="left"/>
      <w:pPr>
        <w:tabs>
          <w:tab w:val="num" w:pos="360"/>
        </w:tabs>
      </w:pPr>
    </w:lvl>
    <w:lvl w:ilvl="3" w:tplc="4288CF7A">
      <w:numFmt w:val="none"/>
      <w:lvlText w:val=""/>
      <w:lvlJc w:val="left"/>
      <w:pPr>
        <w:tabs>
          <w:tab w:val="num" w:pos="360"/>
        </w:tabs>
      </w:pPr>
    </w:lvl>
    <w:lvl w:ilvl="4" w:tplc="20A49144">
      <w:numFmt w:val="none"/>
      <w:lvlText w:val=""/>
      <w:lvlJc w:val="left"/>
      <w:pPr>
        <w:tabs>
          <w:tab w:val="num" w:pos="360"/>
        </w:tabs>
      </w:pPr>
    </w:lvl>
    <w:lvl w:ilvl="5" w:tplc="6680B670">
      <w:numFmt w:val="none"/>
      <w:lvlText w:val=""/>
      <w:lvlJc w:val="left"/>
      <w:pPr>
        <w:tabs>
          <w:tab w:val="num" w:pos="360"/>
        </w:tabs>
      </w:pPr>
    </w:lvl>
    <w:lvl w:ilvl="6" w:tplc="5A445ECE">
      <w:numFmt w:val="none"/>
      <w:lvlText w:val=""/>
      <w:lvlJc w:val="left"/>
      <w:pPr>
        <w:tabs>
          <w:tab w:val="num" w:pos="360"/>
        </w:tabs>
      </w:pPr>
    </w:lvl>
    <w:lvl w:ilvl="7" w:tplc="9F20F9BC">
      <w:numFmt w:val="none"/>
      <w:lvlText w:val=""/>
      <w:lvlJc w:val="left"/>
      <w:pPr>
        <w:tabs>
          <w:tab w:val="num" w:pos="360"/>
        </w:tabs>
      </w:pPr>
    </w:lvl>
    <w:lvl w:ilvl="8" w:tplc="2E32A642">
      <w:numFmt w:val="none"/>
      <w:lvlText w:val=""/>
      <w:lvlJc w:val="left"/>
      <w:pPr>
        <w:tabs>
          <w:tab w:val="num" w:pos="360"/>
        </w:tabs>
      </w:pPr>
    </w:lvl>
  </w:abstractNum>
  <w:abstractNum w:abstractNumId="11">
    <w:nsid w:val="6D16272D"/>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3C10BA7"/>
    <w:multiLevelType w:val="hybridMultilevel"/>
    <w:tmpl w:val="80EEA6F8"/>
    <w:lvl w:ilvl="0" w:tplc="8EA03CE0">
      <w:start w:val="1"/>
      <w:numFmt w:val="decimal"/>
      <w:lvlText w:val="%1."/>
      <w:lvlJc w:val="right"/>
      <w:pPr>
        <w:ind w:left="720" w:hanging="360"/>
      </w:pPr>
      <w:rPr>
        <w:rFonts w:ascii="Tahoma" w:hAnsi="Tahoma" w:hint="default"/>
        <w:b/>
        <w:i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nsid w:val="74CE572F"/>
    <w:multiLevelType w:val="hybridMultilevel"/>
    <w:tmpl w:val="53E01A04"/>
    <w:lvl w:ilvl="0" w:tplc="7C067134">
      <w:start w:val="1"/>
      <w:numFmt w:val="decimal"/>
      <w:lvlText w:val="%1."/>
      <w:lvlJc w:val="left"/>
      <w:pPr>
        <w:tabs>
          <w:tab w:val="num" w:pos="454"/>
        </w:tabs>
        <w:ind w:left="454" w:hanging="454"/>
      </w:pPr>
      <w:rPr>
        <w:rFonts w:ascii="Tahoma" w:hAnsi="Tahoma" w:cs="Tahoma" w:hint="default"/>
        <w:b/>
        <w:i w:val="0"/>
        <w:shadow/>
        <w:color w:val="auto"/>
        <w:sz w:val="20"/>
        <w:szCs w:val="20"/>
      </w:rPr>
    </w:lvl>
    <w:lvl w:ilvl="1" w:tplc="775A4820">
      <w:start w:val="1"/>
      <w:numFmt w:val="upperRoman"/>
      <w:isLgl/>
      <w:lvlText w:val="%2."/>
      <w:lvlJc w:val="left"/>
      <w:pPr>
        <w:tabs>
          <w:tab w:val="num" w:pos="1174"/>
        </w:tabs>
        <w:ind w:left="1174" w:hanging="720"/>
      </w:pPr>
      <w:rPr>
        <w:rFonts w:ascii="Times New Roman" w:eastAsia="Times New Roman" w:hAnsi="Times New Roman" w:cs="Times New Roman"/>
        <w:b/>
      </w:rPr>
    </w:lvl>
    <w:lvl w:ilvl="2" w:tplc="415AAF92">
      <w:numFmt w:val="none"/>
      <w:lvlText w:val=""/>
      <w:lvlJc w:val="left"/>
      <w:pPr>
        <w:tabs>
          <w:tab w:val="num" w:pos="360"/>
        </w:tabs>
      </w:pPr>
    </w:lvl>
    <w:lvl w:ilvl="3" w:tplc="0DC21650">
      <w:numFmt w:val="none"/>
      <w:lvlText w:val=""/>
      <w:lvlJc w:val="left"/>
      <w:pPr>
        <w:tabs>
          <w:tab w:val="num" w:pos="360"/>
        </w:tabs>
      </w:pPr>
    </w:lvl>
    <w:lvl w:ilvl="4" w:tplc="7C5AF8B4">
      <w:numFmt w:val="none"/>
      <w:lvlText w:val=""/>
      <w:lvlJc w:val="left"/>
      <w:pPr>
        <w:tabs>
          <w:tab w:val="num" w:pos="360"/>
        </w:tabs>
      </w:pPr>
    </w:lvl>
    <w:lvl w:ilvl="5" w:tplc="9A7040EE">
      <w:numFmt w:val="none"/>
      <w:lvlText w:val=""/>
      <w:lvlJc w:val="left"/>
      <w:pPr>
        <w:tabs>
          <w:tab w:val="num" w:pos="360"/>
        </w:tabs>
      </w:pPr>
    </w:lvl>
    <w:lvl w:ilvl="6" w:tplc="40A2ED64">
      <w:numFmt w:val="none"/>
      <w:lvlText w:val=""/>
      <w:lvlJc w:val="left"/>
      <w:pPr>
        <w:tabs>
          <w:tab w:val="num" w:pos="360"/>
        </w:tabs>
      </w:pPr>
    </w:lvl>
    <w:lvl w:ilvl="7" w:tplc="9356F91C">
      <w:numFmt w:val="none"/>
      <w:lvlText w:val=""/>
      <w:lvlJc w:val="left"/>
      <w:pPr>
        <w:tabs>
          <w:tab w:val="num" w:pos="360"/>
        </w:tabs>
      </w:pPr>
    </w:lvl>
    <w:lvl w:ilvl="8" w:tplc="3A1EF428">
      <w:numFmt w:val="none"/>
      <w:lvlText w:val=""/>
      <w:lvlJc w:val="left"/>
      <w:pPr>
        <w:tabs>
          <w:tab w:val="num" w:pos="360"/>
        </w:tabs>
      </w:pPr>
    </w:lvl>
  </w:abstractNum>
  <w:abstractNum w:abstractNumId="14">
    <w:nsid w:val="75AD301C"/>
    <w:multiLevelType w:val="hybridMultilevel"/>
    <w:tmpl w:val="C9A6880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8"/>
  </w:num>
  <w:num w:numId="2">
    <w:abstractNumId w:val="0"/>
  </w:num>
  <w:num w:numId="3">
    <w:abstractNumId w:val="4"/>
  </w:num>
  <w:num w:numId="4">
    <w:abstractNumId w:val="14"/>
  </w:num>
  <w:num w:numId="5">
    <w:abstractNumId w:val="3"/>
  </w:num>
  <w:num w:numId="6">
    <w:abstractNumId w:val="2"/>
  </w:num>
  <w:num w:numId="7">
    <w:abstractNumId w:val="13"/>
  </w:num>
  <w:num w:numId="8">
    <w:abstractNumId w:val="1"/>
  </w:num>
  <w:num w:numId="9">
    <w:abstractNumId w:val="10"/>
  </w:num>
  <w:num w:numId="10">
    <w:abstractNumId w:val="9"/>
  </w:num>
  <w:num w:numId="11">
    <w:abstractNumId w:val="6"/>
  </w:num>
  <w:num w:numId="12">
    <w:abstractNumId w:val="11"/>
  </w:num>
  <w:num w:numId="13">
    <w:abstractNumId w:val="5"/>
  </w:num>
  <w:num w:numId="14">
    <w:abstractNumId w:val="7"/>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08008A"/>
    <w:rsid w:val="000130A4"/>
    <w:rsid w:val="0008008A"/>
    <w:rsid w:val="005F0E2E"/>
    <w:rsid w:val="00660D5D"/>
    <w:rsid w:val="007D7BD4"/>
    <w:rsid w:val="008A3495"/>
    <w:rsid w:val="009042C5"/>
    <w:rsid w:val="00D4086F"/>
    <w:rsid w:val="00E075BA"/>
    <w:rsid w:val="00E45C2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08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08008A"/>
    <w:pPr>
      <w:spacing w:after="120"/>
    </w:pPr>
    <w:rPr>
      <w:sz w:val="16"/>
      <w:szCs w:val="16"/>
      <w:lang w:val="es-PE"/>
    </w:rPr>
  </w:style>
  <w:style w:type="character" w:customStyle="1" w:styleId="Textoindependiente3Car">
    <w:name w:val="Texto independiente 3 Car"/>
    <w:basedOn w:val="Fuentedeprrafopredeter"/>
    <w:link w:val="Textoindependiente3"/>
    <w:rsid w:val="0008008A"/>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08008A"/>
    <w:pPr>
      <w:jc w:val="both"/>
    </w:pPr>
    <w:rPr>
      <w:rFonts w:ascii="Tahoma" w:hAnsi="Tahoma"/>
      <w:sz w:val="22"/>
      <w:szCs w:val="20"/>
    </w:rPr>
  </w:style>
  <w:style w:type="paragraph" w:styleId="Prrafodelista">
    <w:name w:val="List Paragraph"/>
    <w:basedOn w:val="Normal"/>
    <w:uiPriority w:val="99"/>
    <w:qFormat/>
    <w:rsid w:val="0008008A"/>
    <w:pPr>
      <w:widowControl w:val="0"/>
      <w:suppressAutoHyphens/>
      <w:ind w:left="708"/>
    </w:pPr>
    <w:rPr>
      <w:szCs w:val="20"/>
      <w:lang w:val="es-ES_tradnl"/>
    </w:rPr>
  </w:style>
  <w:style w:type="paragraph" w:styleId="Piedepgina">
    <w:name w:val="footer"/>
    <w:basedOn w:val="Normal"/>
    <w:link w:val="PiedepginaCar"/>
    <w:uiPriority w:val="99"/>
    <w:unhideWhenUsed/>
    <w:rsid w:val="0008008A"/>
    <w:pPr>
      <w:tabs>
        <w:tab w:val="center" w:pos="4252"/>
        <w:tab w:val="right" w:pos="8504"/>
      </w:tabs>
    </w:pPr>
  </w:style>
  <w:style w:type="character" w:customStyle="1" w:styleId="PiedepginaCar">
    <w:name w:val="Pie de página Car"/>
    <w:basedOn w:val="Fuentedeprrafopredeter"/>
    <w:link w:val="Piedepgina"/>
    <w:uiPriority w:val="99"/>
    <w:rsid w:val="0008008A"/>
    <w:rPr>
      <w:rFonts w:ascii="Times New Roman" w:eastAsia="Times New Roman" w:hAnsi="Times New Roman" w:cs="Times New Roman"/>
      <w:sz w:val="24"/>
      <w:szCs w:val="24"/>
      <w:lang w:eastAsia="es-ES"/>
    </w:rPr>
  </w:style>
  <w:style w:type="paragraph" w:styleId="Textonotapie">
    <w:name w:val="footnote text"/>
    <w:aliases w:val="Car,Car Car Car,Car4, Car,Texto nota pie1, Car4,Body Text,Texto independiente1,Car Car Car Car Car,Texto independiente2, Car1 Car,Car1 Car, Car2 Car Car Car Car Car, Car2 Car Car, Car2 Car Car Car Car Car Car, Car2 Car1 Car, Car Car Car"/>
    <w:basedOn w:val="Normal"/>
    <w:link w:val="TextonotapieCar"/>
    <w:rsid w:val="0008008A"/>
    <w:rPr>
      <w:sz w:val="20"/>
      <w:szCs w:val="20"/>
    </w:rPr>
  </w:style>
  <w:style w:type="character" w:customStyle="1" w:styleId="TextonotapieCar">
    <w:name w:val="Texto nota pie Car"/>
    <w:aliases w:val="Car Car,Car Car Car Car,Car4 Car, Car Car,Texto nota pie1 Car, Car4 Car,Body Text Car,Texto independiente1 Car,Car Car Car Car Car Car,Texto independiente2 Car, Car1 Car Car,Car1 Car Car, Car2 Car Car Car Car Car Car1, Car Car Car Car"/>
    <w:basedOn w:val="Fuentedeprrafopredeter"/>
    <w:link w:val="Textonotapie"/>
    <w:rsid w:val="0008008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08008A"/>
    <w:rPr>
      <w:rFonts w:cs="Times New Roman"/>
      <w:vertAlign w:val="superscript"/>
    </w:rPr>
  </w:style>
  <w:style w:type="table" w:styleId="Tablaconcuadrcula">
    <w:name w:val="Table Grid"/>
    <w:basedOn w:val="Tablanormal"/>
    <w:uiPriority w:val="59"/>
    <w:rsid w:val="000800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cabezado">
    <w:name w:val="header"/>
    <w:aliases w:val="maria,h"/>
    <w:basedOn w:val="Normal"/>
    <w:link w:val="EncabezadoCar"/>
    <w:uiPriority w:val="99"/>
    <w:semiHidden/>
    <w:unhideWhenUsed/>
    <w:rsid w:val="007D7BD4"/>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7D7BD4"/>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62700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3046</Words>
  <Characters>16755</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3</cp:revision>
  <cp:lastPrinted>2011-07-19T21:51:00Z</cp:lastPrinted>
  <dcterms:created xsi:type="dcterms:W3CDTF">2011-07-19T21:43:00Z</dcterms:created>
  <dcterms:modified xsi:type="dcterms:W3CDTF">2011-08-15T16:25:00Z</dcterms:modified>
</cp:coreProperties>
</file>